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C4" w:rsidRDefault="0060472F" w:rsidP="00BB77C4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0964">
        <w:rPr>
          <w:b/>
          <w:bCs/>
          <w:sz w:val="28"/>
          <w:szCs w:val="28"/>
        </w:rPr>
        <w:t xml:space="preserve">Заключение  </w:t>
      </w:r>
    </w:p>
    <w:p w:rsidR="00C0081F" w:rsidRPr="003F58B6" w:rsidRDefault="0060472F" w:rsidP="00BB77C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F58B6">
        <w:rPr>
          <w:b/>
          <w:bCs/>
          <w:sz w:val="28"/>
          <w:szCs w:val="28"/>
        </w:rPr>
        <w:t>на проект решения Думы города Покачи</w:t>
      </w:r>
    </w:p>
    <w:p w:rsidR="00C0081F" w:rsidRPr="003F58B6" w:rsidRDefault="00C0081F" w:rsidP="00BB77C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F58B6">
        <w:rPr>
          <w:b/>
          <w:bCs/>
          <w:sz w:val="28"/>
          <w:szCs w:val="28"/>
        </w:rPr>
        <w:t>«О</w:t>
      </w:r>
      <w:r w:rsidR="003F58B6" w:rsidRPr="003F58B6">
        <w:rPr>
          <w:b/>
          <w:bCs/>
          <w:sz w:val="28"/>
          <w:szCs w:val="28"/>
        </w:rPr>
        <w:t>б исполнении бюджета города Покачи за 2013 год</w:t>
      </w:r>
      <w:r w:rsidRPr="003F58B6">
        <w:rPr>
          <w:b/>
          <w:bCs/>
          <w:sz w:val="28"/>
          <w:szCs w:val="28"/>
        </w:rPr>
        <w:t>»</w:t>
      </w:r>
    </w:p>
    <w:p w:rsidR="00C0081F" w:rsidRPr="003F58B6" w:rsidRDefault="00C0081F" w:rsidP="00BB77C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0081F" w:rsidRPr="00330964" w:rsidRDefault="00C0081F" w:rsidP="00C0081F">
      <w:pPr>
        <w:pStyle w:val="ac"/>
        <w:jc w:val="both"/>
      </w:pPr>
      <w:r w:rsidRPr="00330964">
        <w:t>«</w:t>
      </w:r>
      <w:r w:rsidR="00140B5A">
        <w:t xml:space="preserve"> 26»  мая </w:t>
      </w:r>
      <w:r w:rsidRPr="00330964">
        <w:t>201</w:t>
      </w:r>
      <w:r w:rsidR="004C7003">
        <w:t>4</w:t>
      </w:r>
      <w:r w:rsidRPr="00330964">
        <w:t xml:space="preserve"> г.</w:t>
      </w:r>
      <w:r w:rsidRPr="00330964">
        <w:tab/>
      </w:r>
      <w:r w:rsidRPr="00330964">
        <w:tab/>
      </w:r>
      <w:r w:rsidRPr="00330964">
        <w:tab/>
      </w:r>
      <w:r w:rsidRPr="00330964">
        <w:tab/>
      </w:r>
      <w:r w:rsidRPr="00330964">
        <w:tab/>
      </w:r>
      <w:r w:rsidRPr="00330964">
        <w:tab/>
      </w:r>
      <w:r w:rsidRPr="00330964">
        <w:tab/>
      </w:r>
      <w:r w:rsidR="004C7003">
        <w:t xml:space="preserve">            </w:t>
      </w:r>
      <w:r w:rsidRPr="00330964">
        <w:t xml:space="preserve"> </w:t>
      </w:r>
      <w:r w:rsidR="00140B5A">
        <w:t xml:space="preserve">                      </w:t>
      </w:r>
      <w:bookmarkStart w:id="0" w:name="_GoBack"/>
      <w:bookmarkEnd w:id="0"/>
      <w:r w:rsidRPr="00330964">
        <w:t>№</w:t>
      </w:r>
      <w:r w:rsidR="004C7003">
        <w:t xml:space="preserve"> </w:t>
      </w:r>
      <w:r w:rsidR="00140B5A">
        <w:t xml:space="preserve"> 44</w:t>
      </w:r>
    </w:p>
    <w:p w:rsidR="004030C2" w:rsidRPr="00330964" w:rsidRDefault="0035267B" w:rsidP="00330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iCs/>
          <w:sz w:val="24"/>
          <w:szCs w:val="24"/>
        </w:rPr>
        <w:t>Заключение подготовлено в соответс</w:t>
      </w:r>
      <w:r w:rsidR="004C7003">
        <w:rPr>
          <w:rFonts w:ascii="Times New Roman" w:eastAsia="Times New Roman" w:hAnsi="Times New Roman" w:cs="Times New Roman"/>
          <w:iCs/>
          <w:sz w:val="24"/>
          <w:szCs w:val="24"/>
        </w:rPr>
        <w:t>твии с требованиями статьи 264.4</w:t>
      </w:r>
      <w:r w:rsidRPr="00330964">
        <w:rPr>
          <w:rFonts w:ascii="Times New Roman" w:eastAsia="Times New Roman" w:hAnsi="Times New Roman" w:cs="Times New Roman"/>
          <w:iCs/>
          <w:sz w:val="24"/>
          <w:szCs w:val="24"/>
        </w:rPr>
        <w:t xml:space="preserve"> Б</w:t>
      </w:r>
      <w:r w:rsidR="004C7003">
        <w:rPr>
          <w:rFonts w:ascii="Times New Roman" w:eastAsia="Times New Roman" w:hAnsi="Times New Roman" w:cs="Times New Roman"/>
          <w:iCs/>
          <w:sz w:val="24"/>
          <w:szCs w:val="24"/>
        </w:rPr>
        <w:t>юджетного кодекса Российской Федерации</w:t>
      </w:r>
      <w:r w:rsidR="00321F64" w:rsidRPr="0033096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C700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30964">
        <w:rPr>
          <w:rFonts w:ascii="Times New Roman" w:hAnsi="Times New Roman" w:cs="Times New Roman"/>
          <w:iCs/>
          <w:sz w:val="24"/>
          <w:szCs w:val="24"/>
        </w:rPr>
        <w:t xml:space="preserve">статьей </w:t>
      </w:r>
      <w:r w:rsidR="00330964" w:rsidRPr="00330964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Pr="00330964">
        <w:rPr>
          <w:rFonts w:ascii="Times New Roman" w:hAnsi="Times New Roman" w:cs="Times New Roman"/>
          <w:sz w:val="24"/>
          <w:szCs w:val="24"/>
        </w:rPr>
        <w:t xml:space="preserve">«Положения о бюджетном устройстве и бюджетном процессе в городе Покачи», утвержденного Решением Думы города </w:t>
      </w:r>
      <w:r w:rsidR="00330964" w:rsidRPr="00330964">
        <w:rPr>
          <w:rFonts w:ascii="Times New Roman" w:hAnsi="Times New Roman" w:cs="Times New Roman"/>
          <w:sz w:val="24"/>
          <w:szCs w:val="24"/>
        </w:rPr>
        <w:t>от 22.02.2013</w:t>
      </w:r>
      <w:r w:rsidRPr="00330964">
        <w:rPr>
          <w:rFonts w:ascii="Times New Roman" w:hAnsi="Times New Roman" w:cs="Times New Roman"/>
          <w:sz w:val="24"/>
          <w:szCs w:val="24"/>
        </w:rPr>
        <w:t xml:space="preserve"> № </w:t>
      </w:r>
      <w:r w:rsidR="00330964" w:rsidRPr="00330964">
        <w:rPr>
          <w:rFonts w:ascii="Times New Roman" w:hAnsi="Times New Roman" w:cs="Times New Roman"/>
          <w:sz w:val="24"/>
          <w:szCs w:val="24"/>
        </w:rPr>
        <w:t>3</w:t>
      </w:r>
      <w:r w:rsidR="007B7A83">
        <w:rPr>
          <w:rFonts w:ascii="Times New Roman" w:hAnsi="Times New Roman" w:cs="Times New Roman"/>
          <w:sz w:val="24"/>
          <w:szCs w:val="24"/>
        </w:rPr>
        <w:t>,</w:t>
      </w:r>
      <w:r w:rsidR="00290458" w:rsidRPr="00330964">
        <w:rPr>
          <w:rFonts w:ascii="Times New Roman" w:hAnsi="Times New Roman" w:cs="Times New Roman"/>
          <w:sz w:val="24"/>
          <w:szCs w:val="24"/>
        </w:rPr>
        <w:t xml:space="preserve"> пп.6 п.2.</w:t>
      </w:r>
      <w:r w:rsidR="00B6786D">
        <w:rPr>
          <w:rFonts w:ascii="Times New Roman" w:hAnsi="Times New Roman" w:cs="Times New Roman"/>
          <w:sz w:val="24"/>
          <w:szCs w:val="24"/>
        </w:rPr>
        <w:t xml:space="preserve"> </w:t>
      </w:r>
      <w:r w:rsidR="00B664E1" w:rsidRPr="00330964">
        <w:rPr>
          <w:rFonts w:ascii="Times New Roman" w:hAnsi="Times New Roman" w:cs="Times New Roman"/>
          <w:sz w:val="24"/>
          <w:szCs w:val="24"/>
        </w:rPr>
        <w:t>ст.4 Р</w:t>
      </w:r>
      <w:r w:rsidR="00290458" w:rsidRPr="00330964">
        <w:rPr>
          <w:rFonts w:ascii="Times New Roman" w:hAnsi="Times New Roman" w:cs="Times New Roman"/>
          <w:sz w:val="24"/>
          <w:szCs w:val="24"/>
        </w:rPr>
        <w:t>егламент</w:t>
      </w:r>
      <w:r w:rsidR="00B664E1" w:rsidRPr="00330964">
        <w:rPr>
          <w:rFonts w:ascii="Times New Roman" w:hAnsi="Times New Roman" w:cs="Times New Roman"/>
          <w:sz w:val="24"/>
          <w:szCs w:val="24"/>
        </w:rPr>
        <w:t>а</w:t>
      </w:r>
      <w:r w:rsidR="00290458" w:rsidRPr="0033096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664E1" w:rsidRPr="00330964">
        <w:rPr>
          <w:rFonts w:ascii="Times New Roman" w:hAnsi="Times New Roman" w:cs="Times New Roman"/>
          <w:sz w:val="24"/>
          <w:szCs w:val="24"/>
        </w:rPr>
        <w:t xml:space="preserve">ьно-счетной палаты, утвержденного </w:t>
      </w:r>
      <w:r w:rsidR="00B6786D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 города Покачи от 04.12.2013 №35</w:t>
      </w:r>
      <w:r w:rsidR="004030C2" w:rsidRPr="00330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805" w:rsidRPr="00330964" w:rsidRDefault="00393805" w:rsidP="0039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проверки</w:t>
      </w:r>
      <w:r w:rsidR="004030C2" w:rsidRPr="003309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отчета</w:t>
      </w:r>
      <w:r w:rsidRPr="003309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393805" w:rsidRPr="00330964" w:rsidRDefault="00393805" w:rsidP="0039380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sz w:val="24"/>
          <w:szCs w:val="24"/>
        </w:rPr>
        <w:t>Установление законности, полноты и достоверности, представленных в форме отчета данных об исполнен</w:t>
      </w:r>
      <w:r w:rsidR="00330964">
        <w:rPr>
          <w:rFonts w:ascii="Times New Roman" w:eastAsia="Times New Roman" w:hAnsi="Times New Roman" w:cs="Times New Roman"/>
          <w:sz w:val="24"/>
          <w:szCs w:val="24"/>
        </w:rPr>
        <w:t>ии бюджета города Покачи за 201</w:t>
      </w:r>
      <w:r w:rsidR="00B678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0964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393805" w:rsidRPr="00330964" w:rsidRDefault="00393805" w:rsidP="0039380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соблюдения требований законодательства в процессе исполнения местного бюджета. </w:t>
      </w:r>
    </w:p>
    <w:p w:rsidR="00393805" w:rsidRPr="00330964" w:rsidRDefault="00393805" w:rsidP="0039380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соответствия фактического исполнения бюджета его плановым назначениям, установленным решением представительного органа местного самоуправления. </w:t>
      </w:r>
    </w:p>
    <w:p w:rsidR="00393805" w:rsidRPr="00330964" w:rsidRDefault="00393805" w:rsidP="0039380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sz w:val="24"/>
          <w:szCs w:val="24"/>
        </w:rPr>
        <w:t>Выявление недостатков внесенного проекта решения и предложени</w:t>
      </w:r>
      <w:r w:rsidR="008D1FBA" w:rsidRPr="0033096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30964">
        <w:rPr>
          <w:rFonts w:ascii="Times New Roman" w:eastAsia="Times New Roman" w:hAnsi="Times New Roman" w:cs="Times New Roman"/>
          <w:sz w:val="24"/>
          <w:szCs w:val="24"/>
        </w:rPr>
        <w:t xml:space="preserve">вариантов их устранения. </w:t>
      </w:r>
    </w:p>
    <w:p w:rsidR="00393805" w:rsidRPr="00330964" w:rsidRDefault="00393805" w:rsidP="0039380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sz w:val="24"/>
          <w:szCs w:val="24"/>
        </w:rPr>
        <w:t>Подготовка представительному органу местного самоуправления заключения о возможности (невозможности) утверждения внесенного проекта решения об исполнении бюджета город</w:t>
      </w:r>
      <w:r w:rsidR="000F6AC3" w:rsidRPr="00330964">
        <w:rPr>
          <w:rFonts w:ascii="Times New Roman" w:eastAsia="Times New Roman" w:hAnsi="Times New Roman" w:cs="Times New Roman"/>
          <w:sz w:val="24"/>
          <w:szCs w:val="24"/>
        </w:rPr>
        <w:t>а Покачи</w:t>
      </w:r>
      <w:r w:rsidRPr="00330964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B678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0964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0F6AC3" w:rsidRPr="00167B6A" w:rsidRDefault="004871DB" w:rsidP="000F6AC3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B6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="00BB77C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93805" w:rsidRDefault="00393805" w:rsidP="00B6786D">
      <w:pPr>
        <w:pStyle w:val="ac"/>
        <w:ind w:firstLine="709"/>
        <w:jc w:val="both"/>
      </w:pPr>
      <w:r w:rsidRPr="00167B6A">
        <w:t>Проект решения «Об исполнении бюджета города Покачи за 201</w:t>
      </w:r>
      <w:r w:rsidR="00B6786D">
        <w:t>3</w:t>
      </w:r>
      <w:r w:rsidRPr="00167B6A">
        <w:t xml:space="preserve"> год» представлен Администрацией города Покачи 2</w:t>
      </w:r>
      <w:r w:rsidR="00B75630" w:rsidRPr="00167B6A">
        <w:t>9</w:t>
      </w:r>
      <w:r w:rsidRPr="00167B6A">
        <w:t>.04.201</w:t>
      </w:r>
      <w:r w:rsidR="00B6786D">
        <w:t xml:space="preserve">4 </w:t>
      </w:r>
      <w:r w:rsidRPr="00167B6A">
        <w:t xml:space="preserve">года, то есть в срок, установленный </w:t>
      </w:r>
      <w:r w:rsidR="00B6786D">
        <w:t xml:space="preserve">статьей 264.5 </w:t>
      </w:r>
      <w:r w:rsidRPr="00167B6A">
        <w:t>Бюджетн</w:t>
      </w:r>
      <w:r w:rsidR="00B6786D">
        <w:t xml:space="preserve">ого </w:t>
      </w:r>
      <w:r w:rsidRPr="00167B6A">
        <w:t>Кодекс</w:t>
      </w:r>
      <w:r w:rsidR="00B6786D">
        <w:t>а</w:t>
      </w:r>
      <w:r w:rsidRPr="00167B6A">
        <w:t xml:space="preserve"> Р</w:t>
      </w:r>
      <w:r w:rsidR="00B6786D">
        <w:t xml:space="preserve">оссийской </w:t>
      </w:r>
      <w:r w:rsidRPr="00167B6A">
        <w:t>Ф</w:t>
      </w:r>
      <w:r w:rsidR="00B6786D">
        <w:t>едерации</w:t>
      </w:r>
      <w:r w:rsidRPr="00167B6A">
        <w:t xml:space="preserve">, </w:t>
      </w:r>
      <w:r w:rsidR="00167B6A" w:rsidRPr="00167B6A">
        <w:t>статьей 7</w:t>
      </w:r>
      <w:r w:rsidRPr="00167B6A">
        <w:t xml:space="preserve"> «Положения о бюджетном устройстве и бюджетном процессе в городе Покачи», утвержденного Решением Думы города от </w:t>
      </w:r>
      <w:r w:rsidR="00167B6A" w:rsidRPr="00167B6A">
        <w:t>22.02.2013</w:t>
      </w:r>
      <w:r w:rsidRPr="00167B6A">
        <w:t xml:space="preserve"> № </w:t>
      </w:r>
      <w:r w:rsidR="00167B6A" w:rsidRPr="00167B6A">
        <w:t>3</w:t>
      </w:r>
      <w:r w:rsidRPr="00167B6A">
        <w:t xml:space="preserve">.  </w:t>
      </w:r>
    </w:p>
    <w:p w:rsidR="00EB5D7E" w:rsidRDefault="003C22FA" w:rsidP="003C22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CF3">
        <w:rPr>
          <w:rFonts w:ascii="Times New Roman" w:hAnsi="Times New Roman" w:cs="Times New Roman"/>
          <w:sz w:val="24"/>
          <w:szCs w:val="24"/>
        </w:rPr>
        <w:t>В результате внесенных изменений и с учетом финансовых поступлений и уведомлений из бюджета автономного округа основные параметры бюджета на конец года сложились следующим образом:</w:t>
      </w:r>
    </w:p>
    <w:p w:rsidR="003C22FA" w:rsidRPr="000B2CF3" w:rsidRDefault="00EB5D7E" w:rsidP="00EB5D7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рублях)</w:t>
      </w:r>
      <w:r w:rsidR="003C22FA" w:rsidRPr="000B2C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B7A83" w:rsidTr="007B7A83">
        <w:tc>
          <w:tcPr>
            <w:tcW w:w="2392" w:type="dxa"/>
          </w:tcPr>
          <w:p w:rsidR="007B7A83" w:rsidRDefault="007B7A83" w:rsidP="00393805">
            <w:pPr>
              <w:pStyle w:val="ac"/>
              <w:jc w:val="both"/>
            </w:pPr>
          </w:p>
        </w:tc>
        <w:tc>
          <w:tcPr>
            <w:tcW w:w="2393" w:type="dxa"/>
          </w:tcPr>
          <w:p w:rsidR="007B7A83" w:rsidRPr="00EB5D7E" w:rsidRDefault="007B7A83" w:rsidP="00EB5D7E">
            <w:pPr>
              <w:pStyle w:val="ac"/>
              <w:jc w:val="center"/>
              <w:rPr>
                <w:b/>
              </w:rPr>
            </w:pPr>
            <w:r w:rsidRPr="00EB5D7E">
              <w:rPr>
                <w:b/>
              </w:rPr>
              <w:t>Плановые показатели бюджета</w:t>
            </w:r>
          </w:p>
        </w:tc>
        <w:tc>
          <w:tcPr>
            <w:tcW w:w="2393" w:type="dxa"/>
          </w:tcPr>
          <w:p w:rsidR="007B7A83" w:rsidRPr="00EB5D7E" w:rsidRDefault="007B7A83" w:rsidP="00EB5D7E">
            <w:pPr>
              <w:pStyle w:val="ac"/>
              <w:jc w:val="center"/>
              <w:rPr>
                <w:b/>
              </w:rPr>
            </w:pPr>
            <w:r w:rsidRPr="00EB5D7E">
              <w:rPr>
                <w:b/>
              </w:rPr>
              <w:t>План с учетом внесенных изменений</w:t>
            </w:r>
          </w:p>
        </w:tc>
        <w:tc>
          <w:tcPr>
            <w:tcW w:w="2393" w:type="dxa"/>
          </w:tcPr>
          <w:p w:rsidR="007B7A83" w:rsidRPr="00EB5D7E" w:rsidRDefault="00EB5D7E" w:rsidP="00EB5D7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7B7A83" w:rsidRPr="00EB5D7E">
              <w:rPr>
                <w:b/>
              </w:rPr>
              <w:t>тклонение</w:t>
            </w:r>
          </w:p>
        </w:tc>
      </w:tr>
      <w:tr w:rsidR="007B7A83" w:rsidTr="007B7A83">
        <w:tc>
          <w:tcPr>
            <w:tcW w:w="2392" w:type="dxa"/>
          </w:tcPr>
          <w:p w:rsidR="007B7A83" w:rsidRDefault="007B7A83" w:rsidP="00393805">
            <w:pPr>
              <w:pStyle w:val="ac"/>
              <w:jc w:val="both"/>
            </w:pPr>
            <w:r>
              <w:t>Доходы</w:t>
            </w:r>
          </w:p>
        </w:tc>
        <w:tc>
          <w:tcPr>
            <w:tcW w:w="2393" w:type="dxa"/>
          </w:tcPr>
          <w:p w:rsidR="007B7A83" w:rsidRDefault="002B77EC" w:rsidP="002B77EC">
            <w:pPr>
              <w:pStyle w:val="ac"/>
              <w:jc w:val="right"/>
            </w:pPr>
            <w:r>
              <w:t>1 038 322 500,00</w:t>
            </w:r>
          </w:p>
        </w:tc>
        <w:tc>
          <w:tcPr>
            <w:tcW w:w="2393" w:type="dxa"/>
          </w:tcPr>
          <w:p w:rsidR="007B7A83" w:rsidRDefault="002B77EC" w:rsidP="002B77EC">
            <w:pPr>
              <w:pStyle w:val="ac"/>
              <w:jc w:val="right"/>
            </w:pPr>
            <w:r>
              <w:t>1 508 730 594,54</w:t>
            </w:r>
          </w:p>
        </w:tc>
        <w:tc>
          <w:tcPr>
            <w:tcW w:w="2393" w:type="dxa"/>
          </w:tcPr>
          <w:p w:rsidR="007B7A83" w:rsidRDefault="002B77EC" w:rsidP="002B77EC">
            <w:pPr>
              <w:pStyle w:val="ac"/>
              <w:jc w:val="right"/>
            </w:pPr>
            <w:r>
              <w:t>470 408 094,54</w:t>
            </w:r>
          </w:p>
        </w:tc>
      </w:tr>
      <w:tr w:rsidR="007B7A83" w:rsidTr="007B7A83">
        <w:tc>
          <w:tcPr>
            <w:tcW w:w="2392" w:type="dxa"/>
          </w:tcPr>
          <w:p w:rsidR="007B7A83" w:rsidRDefault="007B7A83" w:rsidP="0042116E">
            <w:pPr>
              <w:pStyle w:val="ac"/>
              <w:spacing w:before="0" w:beforeAutospacing="0" w:after="0" w:afterAutospacing="0"/>
              <w:jc w:val="both"/>
            </w:pPr>
            <w:r>
              <w:t>в том числе</w:t>
            </w:r>
            <w:r w:rsidR="00EB5D7E">
              <w:t>:</w:t>
            </w:r>
            <w:r>
              <w:t xml:space="preserve"> </w:t>
            </w:r>
            <w:proofErr w:type="gramStart"/>
            <w:r>
              <w:t>собственные</w:t>
            </w:r>
            <w:proofErr w:type="gramEnd"/>
          </w:p>
        </w:tc>
        <w:tc>
          <w:tcPr>
            <w:tcW w:w="2393" w:type="dxa"/>
          </w:tcPr>
          <w:p w:rsidR="006B5025" w:rsidRDefault="006B5025" w:rsidP="006B5025">
            <w:pPr>
              <w:pStyle w:val="ac"/>
              <w:spacing w:before="0" w:beforeAutospacing="0" w:after="0" w:afterAutospacing="0"/>
              <w:jc w:val="right"/>
            </w:pPr>
          </w:p>
          <w:p w:rsidR="007B7A83" w:rsidRDefault="002B77EC" w:rsidP="006B5025">
            <w:pPr>
              <w:pStyle w:val="ac"/>
              <w:spacing w:before="0" w:beforeAutospacing="0" w:after="0" w:afterAutospacing="0"/>
              <w:jc w:val="right"/>
            </w:pPr>
            <w:r>
              <w:t>360 973 000,00</w:t>
            </w:r>
          </w:p>
        </w:tc>
        <w:tc>
          <w:tcPr>
            <w:tcW w:w="2393" w:type="dxa"/>
          </w:tcPr>
          <w:p w:rsidR="006B5025" w:rsidRDefault="006B5025" w:rsidP="006B5025">
            <w:pPr>
              <w:pStyle w:val="ac"/>
              <w:spacing w:before="0" w:beforeAutospacing="0" w:after="0" w:afterAutospacing="0"/>
              <w:jc w:val="right"/>
            </w:pPr>
          </w:p>
          <w:p w:rsidR="007B7A83" w:rsidRDefault="002B77EC" w:rsidP="006B5025">
            <w:pPr>
              <w:pStyle w:val="ac"/>
              <w:spacing w:before="0" w:beforeAutospacing="0" w:after="0" w:afterAutospacing="0"/>
              <w:jc w:val="right"/>
            </w:pPr>
            <w:r>
              <w:t>369 763 860,21</w:t>
            </w:r>
          </w:p>
        </w:tc>
        <w:tc>
          <w:tcPr>
            <w:tcW w:w="2393" w:type="dxa"/>
          </w:tcPr>
          <w:p w:rsidR="006B5025" w:rsidRDefault="006B5025" w:rsidP="006B5025">
            <w:pPr>
              <w:pStyle w:val="ac"/>
              <w:spacing w:before="0" w:beforeAutospacing="0" w:after="0" w:afterAutospacing="0"/>
              <w:jc w:val="right"/>
            </w:pPr>
          </w:p>
          <w:p w:rsidR="007B7A83" w:rsidRDefault="002B77EC" w:rsidP="006B5025">
            <w:pPr>
              <w:pStyle w:val="ac"/>
              <w:spacing w:before="0" w:beforeAutospacing="0" w:after="0" w:afterAutospacing="0"/>
              <w:jc w:val="right"/>
            </w:pPr>
            <w:r>
              <w:t>8 790 860,21</w:t>
            </w:r>
          </w:p>
        </w:tc>
      </w:tr>
      <w:tr w:rsidR="007B7A83" w:rsidTr="007B7A83">
        <w:tc>
          <w:tcPr>
            <w:tcW w:w="2392" w:type="dxa"/>
          </w:tcPr>
          <w:p w:rsidR="007B7A83" w:rsidRDefault="007B7A83" w:rsidP="006B5025">
            <w:pPr>
              <w:pStyle w:val="ac"/>
              <w:spacing w:before="0" w:beforeAutospacing="0" w:after="0" w:afterAutospacing="0"/>
              <w:jc w:val="both"/>
            </w:pPr>
            <w:r>
              <w:t>Расходы</w:t>
            </w:r>
          </w:p>
        </w:tc>
        <w:tc>
          <w:tcPr>
            <w:tcW w:w="2393" w:type="dxa"/>
          </w:tcPr>
          <w:p w:rsidR="007B7A83" w:rsidRDefault="009459FE" w:rsidP="009459FE">
            <w:pPr>
              <w:pStyle w:val="ac"/>
              <w:jc w:val="right"/>
            </w:pPr>
            <w:r>
              <w:t>1 214 322 500,00</w:t>
            </w:r>
          </w:p>
        </w:tc>
        <w:tc>
          <w:tcPr>
            <w:tcW w:w="2393" w:type="dxa"/>
          </w:tcPr>
          <w:p w:rsidR="007B7A83" w:rsidRDefault="009459FE" w:rsidP="002B77EC">
            <w:pPr>
              <w:pStyle w:val="ac"/>
              <w:jc w:val="right"/>
            </w:pPr>
            <w:r>
              <w:t>1 652 389 644,40</w:t>
            </w:r>
          </w:p>
        </w:tc>
        <w:tc>
          <w:tcPr>
            <w:tcW w:w="2393" w:type="dxa"/>
          </w:tcPr>
          <w:p w:rsidR="007B7A83" w:rsidRDefault="009459FE" w:rsidP="002B77EC">
            <w:pPr>
              <w:pStyle w:val="ac"/>
              <w:jc w:val="right"/>
            </w:pPr>
            <w:r>
              <w:t>438 067 144,40</w:t>
            </w:r>
          </w:p>
        </w:tc>
      </w:tr>
    </w:tbl>
    <w:p w:rsidR="003C22FA" w:rsidRDefault="003C22FA" w:rsidP="00A070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132" w:rsidRPr="00923E48" w:rsidRDefault="00D47132" w:rsidP="00A070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E48">
        <w:rPr>
          <w:rFonts w:ascii="Times New Roman" w:eastAsia="Times New Roman" w:hAnsi="Times New Roman" w:cs="Times New Roman"/>
          <w:sz w:val="24"/>
          <w:szCs w:val="24"/>
        </w:rPr>
        <w:t>Внесенные изменения в бюджетные назначения обусловлены</w:t>
      </w:r>
      <w:r w:rsidR="008D1FBA" w:rsidRPr="00923E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3E48">
        <w:rPr>
          <w:rFonts w:ascii="Times New Roman" w:eastAsia="Times New Roman" w:hAnsi="Times New Roman" w:cs="Times New Roman"/>
          <w:sz w:val="24"/>
          <w:szCs w:val="24"/>
        </w:rPr>
        <w:t xml:space="preserve"> в основном:</w:t>
      </w:r>
    </w:p>
    <w:p w:rsidR="00D47132" w:rsidRPr="00923E48" w:rsidRDefault="00D47132" w:rsidP="00A070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E48">
        <w:rPr>
          <w:rFonts w:ascii="Times New Roman" w:eastAsia="Times New Roman" w:hAnsi="Times New Roman" w:cs="Times New Roman"/>
          <w:sz w:val="24"/>
          <w:szCs w:val="24"/>
        </w:rPr>
        <w:lastRenderedPageBreak/>
        <w:t>- изменением распределения бюджетных ассигнований по разделам, подразделам, целевым статьям и видам классификации расходов бюджета в связи с изменениями в классификации;</w:t>
      </w:r>
    </w:p>
    <w:p w:rsidR="00D47132" w:rsidRPr="00923E48" w:rsidRDefault="00D47132" w:rsidP="00A070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E48">
        <w:rPr>
          <w:rFonts w:ascii="Times New Roman" w:eastAsia="Times New Roman" w:hAnsi="Times New Roman" w:cs="Times New Roman"/>
          <w:sz w:val="24"/>
          <w:szCs w:val="24"/>
        </w:rPr>
        <w:t xml:space="preserve">- необходимостью отражения в доходной и расходной части бюджета полученных средств бюджетов других уровней, а также собственных доходов в объемах, отличных от показателей, которые были ранее запланированы; </w:t>
      </w:r>
    </w:p>
    <w:p w:rsidR="00D47132" w:rsidRPr="00923E48" w:rsidRDefault="00D47132" w:rsidP="00A070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E48">
        <w:rPr>
          <w:rFonts w:ascii="Times New Roman" w:eastAsia="Times New Roman" w:hAnsi="Times New Roman" w:cs="Times New Roman"/>
          <w:sz w:val="24"/>
          <w:szCs w:val="24"/>
        </w:rPr>
        <w:t xml:space="preserve">- внутренним перераспределением ассигнований в связи с уточнением расходных обязательств бюджета в ходе его исполнения. </w:t>
      </w:r>
    </w:p>
    <w:p w:rsidR="00393805" w:rsidRPr="00EE3043" w:rsidRDefault="004871DB" w:rsidP="00074A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4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бюджета по доходам</w:t>
      </w:r>
      <w:r w:rsidR="00936E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5A13" w:rsidRPr="009E6600" w:rsidRDefault="00D85A13" w:rsidP="009E6600">
      <w:pPr>
        <w:pStyle w:val="ac"/>
        <w:spacing w:before="0" w:beforeAutospacing="0" w:after="0" w:afterAutospacing="0"/>
        <w:ind w:firstLine="708"/>
        <w:jc w:val="both"/>
      </w:pPr>
      <w:r w:rsidRPr="009E6600">
        <w:t>Изменение плановых показателей доходов за 201</w:t>
      </w:r>
      <w:r w:rsidR="00EB5D7E" w:rsidRPr="009E6600">
        <w:t>3</w:t>
      </w:r>
      <w:r w:rsidRPr="009E6600">
        <w:t xml:space="preserve"> год </w:t>
      </w:r>
      <w:proofErr w:type="gramStart"/>
      <w:r w:rsidRPr="009E6600">
        <w:t>приведены</w:t>
      </w:r>
      <w:proofErr w:type="gramEnd"/>
      <w:r w:rsidRPr="009E6600">
        <w:t xml:space="preserve"> в таблице: </w:t>
      </w:r>
    </w:p>
    <w:p w:rsidR="009E6600" w:rsidRPr="009E6600" w:rsidRDefault="009E6600" w:rsidP="009E6600">
      <w:pPr>
        <w:pStyle w:val="ac"/>
        <w:spacing w:before="0" w:beforeAutospacing="0" w:after="0" w:afterAutospacing="0"/>
        <w:ind w:firstLine="708"/>
        <w:jc w:val="right"/>
      </w:pPr>
      <w:r w:rsidRPr="009E6600">
        <w:t>(в рублях)</w:t>
      </w:r>
    </w:p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7"/>
        <w:gridCol w:w="1984"/>
        <w:gridCol w:w="1843"/>
        <w:gridCol w:w="1701"/>
        <w:gridCol w:w="1276"/>
      </w:tblGrid>
      <w:tr w:rsidR="00EE3043" w:rsidRPr="009E6600" w:rsidTr="009E6600">
        <w:trPr>
          <w:tblCellSpacing w:w="0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9E6600" w:rsidRDefault="00D85A13" w:rsidP="009E6600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9E6600">
              <w:rPr>
                <w:b/>
              </w:rPr>
              <w:t>Наименование доходов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9E6600" w:rsidRDefault="00D85A13" w:rsidP="009E6600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9E6600">
              <w:rPr>
                <w:b/>
              </w:rPr>
              <w:t>Доходы, утвержден</w:t>
            </w:r>
            <w:r w:rsidR="008D1FBA" w:rsidRPr="009E6600">
              <w:rPr>
                <w:b/>
              </w:rPr>
              <w:t>ные</w:t>
            </w:r>
            <w:r w:rsidRPr="009E6600">
              <w:rPr>
                <w:b/>
              </w:rPr>
              <w:t xml:space="preserve"> первоначально (решение № </w:t>
            </w:r>
            <w:r w:rsidR="00EE36BC" w:rsidRPr="009E6600">
              <w:rPr>
                <w:b/>
              </w:rPr>
              <w:t>129</w:t>
            </w:r>
            <w:r w:rsidRPr="009E6600">
              <w:rPr>
                <w:b/>
              </w:rPr>
              <w:t xml:space="preserve">  от </w:t>
            </w:r>
            <w:r w:rsidR="001D20C9" w:rsidRPr="009E6600">
              <w:rPr>
                <w:b/>
              </w:rPr>
              <w:t>0</w:t>
            </w:r>
            <w:r w:rsidR="00EE36BC" w:rsidRPr="009E6600">
              <w:rPr>
                <w:b/>
              </w:rPr>
              <w:t>3</w:t>
            </w:r>
            <w:r w:rsidR="001D20C9" w:rsidRPr="009E6600">
              <w:rPr>
                <w:b/>
              </w:rPr>
              <w:t>.12.201</w:t>
            </w:r>
            <w:r w:rsidR="00801973" w:rsidRPr="009E6600">
              <w:rPr>
                <w:b/>
              </w:rPr>
              <w:t>2</w:t>
            </w:r>
            <w:r w:rsidRPr="009E6600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9E6600" w:rsidRDefault="00D85A13" w:rsidP="009E6600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9E6600">
              <w:rPr>
                <w:b/>
              </w:rPr>
              <w:t>Доходы с учетом внесенных изменений за 201</w:t>
            </w:r>
            <w:r w:rsidR="00801973" w:rsidRPr="009E6600">
              <w:rPr>
                <w:b/>
              </w:rPr>
              <w:t>3</w:t>
            </w:r>
            <w:r w:rsidRPr="009E6600">
              <w:rPr>
                <w:b/>
              </w:rPr>
              <w:t>г</w:t>
            </w:r>
            <w:r w:rsidR="00801973" w:rsidRPr="009E6600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9E6600" w:rsidRDefault="00D85A13" w:rsidP="009E6600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9E6600">
              <w:rPr>
                <w:b/>
              </w:rPr>
              <w:t>Сумма изменений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BC" w:rsidRPr="009E6600" w:rsidRDefault="008D1FBA" w:rsidP="009E6600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9E6600">
              <w:rPr>
                <w:b/>
              </w:rPr>
              <w:t>в</w:t>
            </w:r>
            <w:r w:rsidR="00D85A13" w:rsidRPr="009E6600">
              <w:rPr>
                <w:b/>
              </w:rPr>
              <w:t xml:space="preserve"> </w:t>
            </w:r>
          </w:p>
          <w:p w:rsidR="00D85A13" w:rsidRPr="009E6600" w:rsidRDefault="00D85A13" w:rsidP="009E6600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9E6600">
              <w:rPr>
                <w:b/>
              </w:rPr>
              <w:t>%</w:t>
            </w:r>
          </w:p>
        </w:tc>
      </w:tr>
      <w:tr w:rsidR="00EE3043" w:rsidRPr="009E6600" w:rsidTr="009E6600">
        <w:trPr>
          <w:tblCellSpacing w:w="0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9E6600" w:rsidRDefault="00D85A13" w:rsidP="009E6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00">
              <w:rPr>
                <w:rFonts w:ascii="Times New Roman" w:hAnsi="Times New Roman" w:cs="Times New Roman"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9E6600" w:rsidRDefault="00801973" w:rsidP="009E6600">
            <w:pPr>
              <w:pStyle w:val="ac"/>
              <w:spacing w:before="0" w:beforeAutospacing="0" w:after="0" w:afterAutospacing="0"/>
              <w:jc w:val="right"/>
            </w:pPr>
            <w:r w:rsidRPr="009E6600">
              <w:t>360 973 000,00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9E6600" w:rsidRDefault="00DA10D6" w:rsidP="009E6600">
            <w:pPr>
              <w:pStyle w:val="ac"/>
              <w:spacing w:before="0" w:beforeAutospacing="0" w:after="0" w:afterAutospacing="0"/>
              <w:jc w:val="right"/>
            </w:pPr>
            <w:r w:rsidRPr="009E6600">
              <w:t>369 763 860,21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9E6600" w:rsidRDefault="007E64CF" w:rsidP="009E6600">
            <w:pPr>
              <w:pStyle w:val="ac"/>
              <w:spacing w:before="0" w:beforeAutospacing="0" w:after="0" w:afterAutospacing="0"/>
              <w:jc w:val="right"/>
            </w:pPr>
            <w:r w:rsidRPr="009E6600">
              <w:t>8 790 860,21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9E6600" w:rsidRDefault="00586A84" w:rsidP="009E6600">
            <w:pPr>
              <w:pStyle w:val="ac"/>
              <w:spacing w:before="0" w:beforeAutospacing="0" w:after="0" w:afterAutospacing="0"/>
              <w:jc w:val="center"/>
            </w:pPr>
            <w:r w:rsidRPr="009E6600">
              <w:t>102,44</w:t>
            </w:r>
            <w:r w:rsidR="00D85A13" w:rsidRPr="009E6600">
              <w:t>%</w:t>
            </w:r>
          </w:p>
        </w:tc>
      </w:tr>
      <w:tr w:rsidR="00EE3043" w:rsidRPr="009E6600" w:rsidTr="009E6600">
        <w:trPr>
          <w:tblCellSpacing w:w="0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9E6600" w:rsidRDefault="00D85A13" w:rsidP="009E6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00">
              <w:rPr>
                <w:rFonts w:ascii="Times New Roman" w:hAnsi="Times New Roman" w:cs="Times New Roman"/>
                <w:sz w:val="24"/>
                <w:szCs w:val="24"/>
              </w:rPr>
              <w:t xml:space="preserve">2.Безвозмездные поступления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9E6600" w:rsidRDefault="00801973" w:rsidP="00565F46">
            <w:pPr>
              <w:pStyle w:val="ac"/>
              <w:spacing w:after="0" w:afterAutospacing="0"/>
              <w:jc w:val="right"/>
            </w:pPr>
            <w:r w:rsidRPr="009E6600">
              <w:t>677 349 500,00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9E6600" w:rsidRDefault="00DA10D6" w:rsidP="00565F46">
            <w:pPr>
              <w:pStyle w:val="ac"/>
              <w:spacing w:after="0" w:afterAutospacing="0"/>
              <w:jc w:val="right"/>
            </w:pPr>
            <w:r w:rsidRPr="009E6600">
              <w:t>1 138 966 734,33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9E6600" w:rsidRDefault="007E64CF" w:rsidP="00565F46">
            <w:pPr>
              <w:pStyle w:val="ac"/>
              <w:spacing w:after="0" w:afterAutospacing="0"/>
              <w:jc w:val="right"/>
            </w:pPr>
            <w:r w:rsidRPr="009E6600">
              <w:t>461 617 234,33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9E6600" w:rsidRDefault="00586A84" w:rsidP="00565F46">
            <w:pPr>
              <w:pStyle w:val="ac"/>
              <w:spacing w:after="0" w:afterAutospacing="0"/>
              <w:jc w:val="center"/>
            </w:pPr>
            <w:r w:rsidRPr="009E6600">
              <w:t>168,15</w:t>
            </w:r>
            <w:r w:rsidR="00D85A13" w:rsidRPr="009E6600">
              <w:t>%</w:t>
            </w:r>
          </w:p>
        </w:tc>
      </w:tr>
      <w:tr w:rsidR="00EE3043" w:rsidRPr="009E6600" w:rsidTr="009E6600">
        <w:trPr>
          <w:tblCellSpacing w:w="0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9E6600" w:rsidRDefault="00D85A13" w:rsidP="00565F46">
            <w:pPr>
              <w:pStyle w:val="ac"/>
              <w:spacing w:after="0" w:afterAutospacing="0"/>
              <w:jc w:val="both"/>
              <w:rPr>
                <w:b/>
              </w:rPr>
            </w:pPr>
            <w:r w:rsidRPr="009E6600">
              <w:rPr>
                <w:b/>
              </w:rPr>
              <w:t>Итого доходов</w:t>
            </w:r>
            <w:r w:rsidR="00565F46" w:rsidRPr="009E6600">
              <w:rPr>
                <w:b/>
              </w:rPr>
              <w:t>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9E6600" w:rsidRDefault="00801973" w:rsidP="00DA10D6">
            <w:pPr>
              <w:pStyle w:val="ac"/>
              <w:jc w:val="right"/>
              <w:rPr>
                <w:b/>
              </w:rPr>
            </w:pPr>
            <w:r w:rsidRPr="009E6600">
              <w:rPr>
                <w:b/>
              </w:rPr>
              <w:t>1 038 322 500,00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9E6600" w:rsidRDefault="00DA10D6" w:rsidP="00DA10D6">
            <w:pPr>
              <w:pStyle w:val="ac"/>
              <w:jc w:val="right"/>
              <w:rPr>
                <w:b/>
              </w:rPr>
            </w:pPr>
            <w:r w:rsidRPr="009E6600">
              <w:rPr>
                <w:b/>
              </w:rPr>
              <w:t>1 508 730 594,54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9E6600" w:rsidRDefault="007E64CF" w:rsidP="00DA10D6">
            <w:pPr>
              <w:pStyle w:val="ac"/>
              <w:jc w:val="right"/>
              <w:rPr>
                <w:b/>
              </w:rPr>
            </w:pPr>
            <w:r w:rsidRPr="009E6600">
              <w:rPr>
                <w:b/>
              </w:rPr>
              <w:t>470 408 094,54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9E6600" w:rsidRDefault="00586A84" w:rsidP="00EE3043">
            <w:pPr>
              <w:pStyle w:val="ac"/>
              <w:jc w:val="center"/>
              <w:rPr>
                <w:b/>
              </w:rPr>
            </w:pPr>
            <w:r w:rsidRPr="009E6600">
              <w:rPr>
                <w:b/>
              </w:rPr>
              <w:t>145,30</w:t>
            </w:r>
            <w:r w:rsidR="00D85A13" w:rsidRPr="009E6600">
              <w:rPr>
                <w:b/>
              </w:rPr>
              <w:t>%</w:t>
            </w:r>
          </w:p>
        </w:tc>
      </w:tr>
    </w:tbl>
    <w:p w:rsidR="000408D4" w:rsidRPr="009E6600" w:rsidRDefault="000408D4" w:rsidP="000408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00">
        <w:rPr>
          <w:rFonts w:ascii="Times New Roman" w:hAnsi="Times New Roman" w:cs="Times New Roman"/>
          <w:sz w:val="24"/>
          <w:szCs w:val="24"/>
        </w:rPr>
        <w:t>Исходя из вышеуказанных данных видно, что повышение за год на 45,3% сложилось практически только за счет безвозмездных поступлений.</w:t>
      </w:r>
    </w:p>
    <w:p w:rsidR="005704B2" w:rsidRPr="009E6600" w:rsidRDefault="005704B2" w:rsidP="005704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8D4" w:rsidRPr="002D1AF6" w:rsidRDefault="000408D4" w:rsidP="000408D4">
      <w:pPr>
        <w:pStyle w:val="ac"/>
        <w:spacing w:before="0" w:beforeAutospacing="0" w:after="0" w:afterAutospacing="0"/>
        <w:ind w:firstLine="708"/>
        <w:jc w:val="both"/>
      </w:pPr>
      <w:r w:rsidRPr="002D1AF6">
        <w:t>Исполнение доходной части бюджета города в 2013 году сложилось следующим образом:</w:t>
      </w:r>
    </w:p>
    <w:p w:rsidR="000408D4" w:rsidRPr="002D1AF6" w:rsidRDefault="000408D4" w:rsidP="000408D4">
      <w:pPr>
        <w:pStyle w:val="ac"/>
        <w:spacing w:before="0" w:beforeAutospacing="0" w:after="0" w:afterAutospacing="0"/>
        <w:ind w:firstLine="708"/>
        <w:jc w:val="center"/>
      </w:pPr>
      <w:r w:rsidRPr="002D1AF6">
        <w:t xml:space="preserve">                                                                                                                              (в рублях)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8"/>
        <w:gridCol w:w="2268"/>
        <w:gridCol w:w="1985"/>
        <w:gridCol w:w="1701"/>
        <w:gridCol w:w="1134"/>
      </w:tblGrid>
      <w:tr w:rsidR="000408D4" w:rsidRPr="002D1AF6" w:rsidTr="002D1AF6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2D1AF6" w:rsidRDefault="000408D4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2D1AF6" w:rsidRDefault="000408D4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2D1AF6">
              <w:rPr>
                <w:b/>
              </w:rPr>
              <w:t>Утвержденные бюджетные назначения на 2013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2D1AF6" w:rsidRDefault="000408D4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2D1AF6">
              <w:rPr>
                <w:b/>
              </w:rPr>
              <w:t>Исполнено в 2013  году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2D1AF6" w:rsidRDefault="000408D4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2D1AF6">
              <w:rPr>
                <w:b/>
              </w:rPr>
              <w:t>Отклонение в сумме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2D1AF6" w:rsidRDefault="000408D4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2D1AF6">
              <w:rPr>
                <w:b/>
              </w:rPr>
              <w:t>% выполнения</w:t>
            </w:r>
          </w:p>
        </w:tc>
      </w:tr>
      <w:tr w:rsidR="000408D4" w:rsidRPr="002D1AF6" w:rsidTr="002D1AF6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2D1AF6" w:rsidRDefault="000408D4" w:rsidP="000A70BB">
            <w:pPr>
              <w:pStyle w:val="ac"/>
              <w:spacing w:before="0" w:beforeAutospacing="0" w:after="0" w:afterAutospacing="0"/>
              <w:jc w:val="both"/>
            </w:pPr>
            <w:r w:rsidRPr="002D1AF6">
              <w:t>1.Налоговые и неналоговые доходы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2D1AF6" w:rsidRDefault="000408D4" w:rsidP="000A70BB">
            <w:pPr>
              <w:pStyle w:val="ac"/>
              <w:jc w:val="right"/>
            </w:pPr>
            <w:r w:rsidRPr="002D1AF6">
              <w:t>369 763 860,21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2D1AF6" w:rsidRDefault="000408D4" w:rsidP="000A70BB">
            <w:pPr>
              <w:pStyle w:val="ac"/>
              <w:jc w:val="right"/>
            </w:pPr>
            <w:r w:rsidRPr="002D1AF6">
              <w:t xml:space="preserve">   370 324 364,55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2D1AF6" w:rsidRDefault="000408D4" w:rsidP="000A70BB">
            <w:pPr>
              <w:pStyle w:val="ac"/>
              <w:jc w:val="right"/>
            </w:pPr>
            <w:r w:rsidRPr="002D1AF6">
              <w:t xml:space="preserve">     560 504,34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2D1AF6" w:rsidRDefault="000408D4" w:rsidP="000A70BB">
            <w:pPr>
              <w:pStyle w:val="ac"/>
              <w:jc w:val="center"/>
            </w:pPr>
            <w:r w:rsidRPr="002D1AF6">
              <w:t>100,2</w:t>
            </w:r>
          </w:p>
        </w:tc>
      </w:tr>
      <w:tr w:rsidR="000408D4" w:rsidRPr="002D1AF6" w:rsidTr="002D1AF6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2D1AF6" w:rsidRDefault="000408D4" w:rsidP="000A70BB">
            <w:pPr>
              <w:pStyle w:val="ac"/>
              <w:jc w:val="both"/>
            </w:pPr>
            <w:r w:rsidRPr="002D1AF6">
              <w:t>2.Безвозмездные поступления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2D1AF6" w:rsidRDefault="000408D4" w:rsidP="002D1AF6">
            <w:pPr>
              <w:pStyle w:val="ac"/>
              <w:jc w:val="right"/>
            </w:pPr>
            <w:r w:rsidRPr="002D1AF6">
              <w:t xml:space="preserve">     1138 966 734,33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2D1AF6" w:rsidRDefault="000408D4" w:rsidP="000A70BB">
            <w:pPr>
              <w:pStyle w:val="ac"/>
              <w:jc w:val="right"/>
            </w:pPr>
            <w:r w:rsidRPr="002D1AF6">
              <w:t xml:space="preserve"> 1 125 131 244,82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2D1AF6" w:rsidRDefault="000408D4" w:rsidP="000A70BB">
            <w:pPr>
              <w:pStyle w:val="ac"/>
              <w:jc w:val="right"/>
            </w:pPr>
            <w:r w:rsidRPr="002D1AF6">
              <w:t>-13 835 489,51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2D1AF6" w:rsidRDefault="000408D4" w:rsidP="000A70BB">
            <w:pPr>
              <w:pStyle w:val="ac"/>
              <w:jc w:val="center"/>
            </w:pPr>
            <w:r w:rsidRPr="002D1AF6">
              <w:t>99,8</w:t>
            </w:r>
          </w:p>
        </w:tc>
      </w:tr>
      <w:tr w:rsidR="000408D4" w:rsidRPr="002D1AF6" w:rsidTr="002D1AF6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2D1AF6" w:rsidRDefault="000408D4" w:rsidP="000A70BB">
            <w:pPr>
              <w:pStyle w:val="ac"/>
              <w:jc w:val="both"/>
              <w:rPr>
                <w:b/>
              </w:rPr>
            </w:pPr>
            <w:r w:rsidRPr="002D1AF6">
              <w:rPr>
                <w:b/>
              </w:rPr>
              <w:t>Всего доходов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2D1AF6" w:rsidRDefault="000408D4" w:rsidP="002D1AF6">
            <w:pPr>
              <w:pStyle w:val="ac"/>
              <w:jc w:val="right"/>
              <w:rPr>
                <w:b/>
              </w:rPr>
            </w:pPr>
            <w:r w:rsidRPr="002D1AF6">
              <w:rPr>
                <w:b/>
              </w:rPr>
              <w:t xml:space="preserve">    1</w:t>
            </w:r>
            <w:r w:rsidR="002D1AF6">
              <w:rPr>
                <w:b/>
              </w:rPr>
              <w:t xml:space="preserve"> </w:t>
            </w:r>
            <w:r w:rsidRPr="002D1AF6">
              <w:rPr>
                <w:b/>
              </w:rPr>
              <w:t>508 730 594,54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2D1AF6" w:rsidRDefault="000408D4" w:rsidP="000A70BB">
            <w:pPr>
              <w:pStyle w:val="ac"/>
              <w:jc w:val="right"/>
              <w:rPr>
                <w:b/>
              </w:rPr>
            </w:pPr>
            <w:r w:rsidRPr="002D1AF6">
              <w:rPr>
                <w:b/>
              </w:rPr>
              <w:t xml:space="preserve"> 1 495 455 609,37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2D1AF6" w:rsidRDefault="000408D4" w:rsidP="000A70BB">
            <w:pPr>
              <w:pStyle w:val="ac"/>
              <w:jc w:val="right"/>
              <w:rPr>
                <w:b/>
              </w:rPr>
            </w:pPr>
            <w:r w:rsidRPr="002D1AF6">
              <w:rPr>
                <w:b/>
              </w:rPr>
              <w:t>13 274 985,17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2D1AF6" w:rsidRDefault="000408D4" w:rsidP="000A70BB">
            <w:pPr>
              <w:pStyle w:val="ac"/>
              <w:jc w:val="center"/>
              <w:rPr>
                <w:b/>
              </w:rPr>
            </w:pPr>
            <w:r w:rsidRPr="002D1AF6">
              <w:rPr>
                <w:b/>
              </w:rPr>
              <w:t>99,1</w:t>
            </w:r>
          </w:p>
        </w:tc>
      </w:tr>
    </w:tbl>
    <w:p w:rsidR="00951AF6" w:rsidRDefault="000408D4" w:rsidP="00951AF6">
      <w:pPr>
        <w:pStyle w:val="ac"/>
        <w:spacing w:before="0" w:beforeAutospacing="0" w:after="0" w:afterAutospacing="0"/>
        <w:ind w:firstLine="708"/>
        <w:jc w:val="both"/>
      </w:pPr>
      <w:r w:rsidRPr="002D1AF6">
        <w:t xml:space="preserve">Фактически за 2013 год в городской бюджет поступило </w:t>
      </w:r>
      <w:r w:rsidRPr="002D1AF6">
        <w:rPr>
          <w:b/>
        </w:rPr>
        <w:t>1 495 455 609,37</w:t>
      </w:r>
      <w:r w:rsidRPr="002D1AF6">
        <w:t xml:space="preserve"> рубля, что на 0,88% или 13 274 985,17 рубля меньше, чем было утверждено решением Думы</w:t>
      </w:r>
      <w:r w:rsidRPr="00475812">
        <w:t xml:space="preserve"> города Покачи от 30.1</w:t>
      </w:r>
      <w:r>
        <w:t>2</w:t>
      </w:r>
      <w:r w:rsidRPr="00475812">
        <w:t>.2013 №150.</w:t>
      </w:r>
    </w:p>
    <w:p w:rsidR="00A867A3" w:rsidRDefault="00D85A13" w:rsidP="00951AF6">
      <w:pPr>
        <w:pStyle w:val="ac"/>
        <w:spacing w:before="0" w:beforeAutospacing="0" w:after="0" w:afterAutospacing="0"/>
        <w:ind w:firstLine="708"/>
        <w:jc w:val="both"/>
      </w:pPr>
      <w:r w:rsidRPr="00285728">
        <w:t>Бюджет города П</w:t>
      </w:r>
      <w:r w:rsidR="005704B2" w:rsidRPr="00285728">
        <w:t>окачи</w:t>
      </w:r>
      <w:r w:rsidR="00801973">
        <w:t xml:space="preserve"> </w:t>
      </w:r>
      <w:r w:rsidRPr="00285728">
        <w:t xml:space="preserve">характеризуется как </w:t>
      </w:r>
      <w:proofErr w:type="spellStart"/>
      <w:r w:rsidRPr="00285728">
        <w:t>дотационно</w:t>
      </w:r>
      <w:proofErr w:type="spellEnd"/>
      <w:r w:rsidRPr="00285728">
        <w:t xml:space="preserve"> зависимый</w:t>
      </w:r>
      <w:r w:rsidR="008D1FBA" w:rsidRPr="00285728">
        <w:t>;</w:t>
      </w:r>
      <w:r w:rsidRPr="00285728">
        <w:t xml:space="preserve"> в общем объеме доходов безвозмездные поступления занимают </w:t>
      </w:r>
      <w:r w:rsidR="005704B2" w:rsidRPr="00285728">
        <w:t>7</w:t>
      </w:r>
      <w:r w:rsidR="00EE36BC">
        <w:t>5,</w:t>
      </w:r>
      <w:r w:rsidR="000408D4">
        <w:t>2</w:t>
      </w:r>
      <w:r w:rsidRPr="00285728">
        <w:t>%.</w:t>
      </w:r>
    </w:p>
    <w:p w:rsidR="00951AF6" w:rsidRDefault="00951AF6" w:rsidP="000408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AF6" w:rsidRDefault="00951AF6" w:rsidP="000408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приведенной ниже таблице показано сравнение поступления собственных доходов по годам:</w:t>
      </w:r>
    </w:p>
    <w:p w:rsidR="003E2425" w:rsidRDefault="008A373A" w:rsidP="008A373A">
      <w:pPr>
        <w:pStyle w:val="a3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рублях)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0"/>
      </w:tblGrid>
      <w:tr w:rsidR="003E2425" w:rsidTr="003E2425">
        <w:tc>
          <w:tcPr>
            <w:tcW w:w="1101" w:type="dxa"/>
          </w:tcPr>
          <w:p w:rsidR="003E2425" w:rsidRDefault="00FC06B9" w:rsidP="00FC06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E242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260" w:type="dxa"/>
          </w:tcPr>
          <w:p w:rsidR="008A373A" w:rsidRDefault="00FC06B9" w:rsidP="008A37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E2425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обственные доходы</w:t>
            </w:r>
          </w:p>
        </w:tc>
        <w:tc>
          <w:tcPr>
            <w:tcW w:w="5210" w:type="dxa"/>
          </w:tcPr>
          <w:p w:rsidR="003E2425" w:rsidRDefault="00FC06B9" w:rsidP="00FC06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E2425">
              <w:rPr>
                <w:rFonts w:ascii="Times New Roman" w:eastAsia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3E2425" w:rsidRPr="003E2425" w:rsidTr="003E2425">
        <w:tc>
          <w:tcPr>
            <w:tcW w:w="1101" w:type="dxa"/>
          </w:tcPr>
          <w:p w:rsidR="003E2425" w:rsidRPr="003E2425" w:rsidRDefault="003E2425" w:rsidP="003F67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F6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2425" w:rsidRPr="00F535A3" w:rsidRDefault="003F6716" w:rsidP="00951AF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A3">
              <w:rPr>
                <w:rFonts w:ascii="Times New Roman" w:eastAsia="Times New Roman" w:hAnsi="Times New Roman" w:cs="Times New Roman"/>
                <w:sz w:val="24"/>
                <w:szCs w:val="24"/>
              </w:rPr>
              <w:t>331 377</w:t>
            </w:r>
            <w:r w:rsidR="00951AF6" w:rsidRPr="00F535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35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951AF6" w:rsidRPr="00F535A3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5210" w:type="dxa"/>
          </w:tcPr>
          <w:p w:rsidR="003E2425" w:rsidRPr="003E2425" w:rsidRDefault="003E2425" w:rsidP="00D97B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425" w:rsidRPr="003E2425" w:rsidTr="003E2425">
        <w:tc>
          <w:tcPr>
            <w:tcW w:w="1101" w:type="dxa"/>
          </w:tcPr>
          <w:p w:rsidR="003E2425" w:rsidRPr="003E2425" w:rsidRDefault="003E2425" w:rsidP="003F67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F6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E2425" w:rsidRPr="00F535A3" w:rsidRDefault="00951AF6" w:rsidP="00951AF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A3">
              <w:rPr>
                <w:rFonts w:ascii="Times New Roman" w:eastAsia="Times New Roman" w:hAnsi="Times New Roman" w:cs="Times New Roman"/>
                <w:sz w:val="24"/>
                <w:szCs w:val="24"/>
              </w:rPr>
              <w:t>362 252 676,57</w:t>
            </w:r>
          </w:p>
        </w:tc>
        <w:tc>
          <w:tcPr>
            <w:tcW w:w="5210" w:type="dxa"/>
          </w:tcPr>
          <w:p w:rsidR="003E2425" w:rsidRPr="003E2425" w:rsidRDefault="00FC06B9" w:rsidP="00B9042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3E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B9042E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3E2425">
              <w:rPr>
                <w:rFonts w:ascii="Times New Roman" w:eastAsia="Times New Roman" w:hAnsi="Times New Roman" w:cs="Times New Roman"/>
                <w:sz w:val="24"/>
                <w:szCs w:val="24"/>
              </w:rPr>
              <w:t>% по сравнению с 201</w:t>
            </w:r>
            <w:r w:rsidR="006A5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годом</w:t>
            </w:r>
          </w:p>
        </w:tc>
      </w:tr>
      <w:tr w:rsidR="003E2425" w:rsidRPr="003E2425" w:rsidTr="003E2425">
        <w:tc>
          <w:tcPr>
            <w:tcW w:w="1101" w:type="dxa"/>
          </w:tcPr>
          <w:p w:rsidR="003E2425" w:rsidRPr="003E2425" w:rsidRDefault="003E2425" w:rsidP="003F67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F67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E2425" w:rsidRPr="00F535A3" w:rsidRDefault="00951AF6" w:rsidP="00951AF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A3">
              <w:rPr>
                <w:rFonts w:ascii="Times New Roman" w:eastAsia="Times New Roman" w:hAnsi="Times New Roman" w:cs="Times New Roman"/>
                <w:sz w:val="24"/>
                <w:szCs w:val="24"/>
              </w:rPr>
              <w:t>370 324 364,55</w:t>
            </w:r>
          </w:p>
        </w:tc>
        <w:tc>
          <w:tcPr>
            <w:tcW w:w="5210" w:type="dxa"/>
          </w:tcPr>
          <w:p w:rsidR="003E2425" w:rsidRPr="003E2425" w:rsidRDefault="003E2425" w:rsidP="00F535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="00F535A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по сравнению с 201</w:t>
            </w:r>
            <w:r w:rsidR="006A54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годом и </w:t>
            </w:r>
            <w:r w:rsidR="006A5425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F535A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по сравнению с 201</w:t>
            </w:r>
            <w:r w:rsidR="006A5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годом.</w:t>
            </w:r>
          </w:p>
        </w:tc>
      </w:tr>
    </w:tbl>
    <w:p w:rsidR="003E2425" w:rsidRPr="00285728" w:rsidRDefault="003E2425" w:rsidP="00D97B29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37C" w:rsidRDefault="0094137C" w:rsidP="00D97B29">
      <w:pPr>
        <w:pStyle w:val="a3"/>
        <w:ind w:firstLine="36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042E" w:rsidRDefault="00B9042E" w:rsidP="008A37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E71" w:rsidRDefault="00E80E71" w:rsidP="008A37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E71">
        <w:rPr>
          <w:rFonts w:ascii="Times New Roman" w:eastAsia="Times New Roman" w:hAnsi="Times New Roman" w:cs="Times New Roman"/>
          <w:sz w:val="24"/>
          <w:szCs w:val="24"/>
        </w:rPr>
        <w:t>Следует отметить, что в 201</w:t>
      </w:r>
      <w:r w:rsidR="008A37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0E71">
        <w:rPr>
          <w:rFonts w:ascii="Times New Roman" w:eastAsia="Times New Roman" w:hAnsi="Times New Roman" w:cs="Times New Roman"/>
          <w:sz w:val="24"/>
          <w:szCs w:val="24"/>
        </w:rPr>
        <w:t xml:space="preserve"> году повысилось поступление  собственных доходов города Покачи. </w:t>
      </w:r>
      <w:r w:rsidR="008A373A">
        <w:rPr>
          <w:rFonts w:ascii="Times New Roman" w:eastAsia="Times New Roman" w:hAnsi="Times New Roman" w:cs="Times New Roman"/>
          <w:sz w:val="24"/>
          <w:szCs w:val="24"/>
        </w:rPr>
        <w:t>Так в 2011</w:t>
      </w:r>
      <w:r w:rsidRPr="00E80E71">
        <w:rPr>
          <w:rFonts w:ascii="Times New Roman" w:eastAsia="Times New Roman" w:hAnsi="Times New Roman" w:cs="Times New Roman"/>
          <w:sz w:val="24"/>
          <w:szCs w:val="24"/>
        </w:rPr>
        <w:t xml:space="preserve"> году собственные доходы составляли </w:t>
      </w:r>
      <w:r w:rsidR="008A373A">
        <w:rPr>
          <w:rFonts w:ascii="Times New Roman" w:eastAsia="Times New Roman" w:hAnsi="Times New Roman" w:cs="Times New Roman"/>
          <w:sz w:val="24"/>
          <w:szCs w:val="24"/>
        </w:rPr>
        <w:t>331 377</w:t>
      </w:r>
      <w:r w:rsidR="00B904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373A">
        <w:rPr>
          <w:rFonts w:ascii="Times New Roman" w:eastAsia="Times New Roman" w:hAnsi="Times New Roman" w:cs="Times New Roman"/>
          <w:sz w:val="24"/>
          <w:szCs w:val="24"/>
        </w:rPr>
        <w:t>041</w:t>
      </w:r>
      <w:r w:rsidR="00B9042E">
        <w:rPr>
          <w:rFonts w:ascii="Times New Roman" w:eastAsia="Times New Roman" w:hAnsi="Times New Roman" w:cs="Times New Roman"/>
          <w:sz w:val="24"/>
          <w:szCs w:val="24"/>
        </w:rPr>
        <w:t>,56 рубля</w:t>
      </w:r>
      <w:r w:rsidRPr="00E80E71">
        <w:rPr>
          <w:rFonts w:ascii="Times New Roman" w:eastAsia="Times New Roman" w:hAnsi="Times New Roman" w:cs="Times New Roman"/>
          <w:sz w:val="24"/>
          <w:szCs w:val="24"/>
        </w:rPr>
        <w:t>, в 201</w:t>
      </w:r>
      <w:r w:rsidR="00B904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0E7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B9042E">
        <w:rPr>
          <w:rFonts w:ascii="Times New Roman" w:eastAsia="Times New Roman" w:hAnsi="Times New Roman" w:cs="Times New Roman"/>
          <w:sz w:val="24"/>
          <w:szCs w:val="24"/>
        </w:rPr>
        <w:t>362 252 676,57 рубля</w:t>
      </w:r>
      <w:r w:rsidRPr="00E80E71"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DD59BF">
        <w:rPr>
          <w:rFonts w:ascii="Times New Roman" w:eastAsia="Times New Roman" w:hAnsi="Times New Roman" w:cs="Times New Roman"/>
          <w:sz w:val="24"/>
          <w:szCs w:val="24"/>
        </w:rPr>
        <w:t>9,3</w:t>
      </w:r>
      <w:r w:rsidRPr="00E80E7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9042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80E71">
        <w:rPr>
          <w:rFonts w:ascii="Times New Roman" w:eastAsia="Times New Roman" w:hAnsi="Times New Roman" w:cs="Times New Roman"/>
          <w:sz w:val="24"/>
          <w:szCs w:val="24"/>
        </w:rPr>
        <w:t xml:space="preserve"> предыдущего года, в 201</w:t>
      </w:r>
      <w:r w:rsidR="00B904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0E7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B9042E">
        <w:rPr>
          <w:rFonts w:ascii="Times New Roman" w:eastAsia="Times New Roman" w:hAnsi="Times New Roman" w:cs="Times New Roman"/>
          <w:sz w:val="24"/>
          <w:szCs w:val="24"/>
        </w:rPr>
        <w:t xml:space="preserve"> 370 324 364,55 рубля</w:t>
      </w:r>
      <w:r w:rsidRPr="00E80E71"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B9042E">
        <w:rPr>
          <w:rFonts w:ascii="Times New Roman" w:eastAsia="Times New Roman" w:hAnsi="Times New Roman" w:cs="Times New Roman"/>
          <w:sz w:val="24"/>
          <w:szCs w:val="24"/>
        </w:rPr>
        <w:t>11,75</w:t>
      </w:r>
      <w:r w:rsidRPr="00E80E71">
        <w:rPr>
          <w:rFonts w:ascii="Times New Roman" w:eastAsia="Times New Roman" w:hAnsi="Times New Roman" w:cs="Times New Roman"/>
          <w:sz w:val="24"/>
          <w:szCs w:val="24"/>
        </w:rPr>
        <w:t>%  выше, чем 2011 году и на 2,2% выше, чем в 201</w:t>
      </w:r>
      <w:r w:rsidR="00DD59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0E71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936E1C" w:rsidRPr="00E80E71" w:rsidRDefault="00936E1C" w:rsidP="008A37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A2D" w:rsidRDefault="004871DB" w:rsidP="00F20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E1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бюджета по расходам</w:t>
      </w:r>
      <w:r w:rsidR="00936E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6E1C" w:rsidRPr="00936E1C" w:rsidRDefault="00936E1C" w:rsidP="00F20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68B" w:rsidRPr="00936E1C" w:rsidRDefault="00D97B29" w:rsidP="00F2068B">
      <w:pPr>
        <w:pStyle w:val="ac"/>
        <w:spacing w:before="0" w:beforeAutospacing="0" w:after="0" w:afterAutospacing="0"/>
        <w:ind w:firstLine="708"/>
        <w:jc w:val="both"/>
      </w:pPr>
      <w:r w:rsidRPr="00936E1C">
        <w:t xml:space="preserve">Изменение плановых показателей наименований расходов </w:t>
      </w:r>
      <w:proofErr w:type="gramStart"/>
      <w:r w:rsidRPr="00936E1C">
        <w:t>приведены</w:t>
      </w:r>
      <w:proofErr w:type="gramEnd"/>
      <w:r w:rsidRPr="00936E1C">
        <w:t xml:space="preserve"> в таблице:</w:t>
      </w:r>
    </w:p>
    <w:p w:rsidR="00F03379" w:rsidRPr="00F03379" w:rsidRDefault="00F03379" w:rsidP="00F03379">
      <w:pPr>
        <w:pStyle w:val="ac"/>
        <w:spacing w:before="0" w:beforeAutospacing="0" w:after="0" w:afterAutospacing="0"/>
        <w:jc w:val="right"/>
      </w:pPr>
      <w:r w:rsidRPr="00F03379">
        <w:t>(в рублях)</w:t>
      </w:r>
    </w:p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6"/>
        <w:gridCol w:w="1842"/>
        <w:gridCol w:w="1843"/>
        <w:gridCol w:w="1701"/>
        <w:gridCol w:w="709"/>
      </w:tblGrid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F03379">
              <w:rPr>
                <w:b/>
              </w:rPr>
              <w:t>Наименование расходов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F03379">
              <w:rPr>
                <w:b/>
              </w:rPr>
              <w:t>Расходы, утвержденные первоначально (решение №129 от 03.12.2012)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F03379">
              <w:rPr>
                <w:b/>
              </w:rPr>
              <w:t>Расходы с учетом внесенных изменений за 2013г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F03379">
              <w:rPr>
                <w:b/>
              </w:rPr>
              <w:t>Сумма изменений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Default="00F03379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F03379">
              <w:rPr>
                <w:b/>
              </w:rPr>
              <w:t xml:space="preserve">В </w:t>
            </w:r>
          </w:p>
          <w:p w:rsidR="00F03379" w:rsidRPr="00F03379" w:rsidRDefault="00F03379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F03379">
              <w:rPr>
                <w:b/>
              </w:rPr>
              <w:t>%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spacing w:before="0" w:beforeAutospacing="0" w:after="0" w:afterAutospacing="0"/>
              <w:jc w:val="both"/>
            </w:pPr>
            <w:r w:rsidRPr="00F03379">
              <w:t>Общегосударственные вопросы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379">
              <w:rPr>
                <w:rFonts w:ascii="Times New Roman" w:hAnsi="Times New Roman" w:cs="Times New Roman"/>
                <w:bCs/>
                <w:sz w:val="24"/>
                <w:szCs w:val="24"/>
              </w:rPr>
              <w:t>167 245 793,67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158 459 439,79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- 8 786 353,88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94,7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both"/>
            </w:pPr>
            <w:r w:rsidRPr="00F03379">
              <w:t>Национальная оборона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1 690 000,00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  <w:rPr>
                <w:color w:val="FF0000"/>
              </w:rPr>
            </w:pPr>
            <w:r w:rsidRPr="00F03379">
              <w:t>3 206 184,75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1 516 184,75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189,7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both"/>
            </w:pPr>
            <w:r w:rsidRPr="00F03379"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21 478 494,77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  <w:rPr>
                <w:color w:val="FF0000"/>
              </w:rPr>
            </w:pPr>
            <w:r w:rsidRPr="00F03379">
              <w:t>22 591 278,14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1 112 783,37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105,2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both"/>
            </w:pPr>
            <w:r w:rsidRPr="00F03379">
              <w:lastRenderedPageBreak/>
              <w:t>Национальная экономика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89 120 412,20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  <w:rPr>
                <w:color w:val="FF0000"/>
              </w:rPr>
            </w:pPr>
            <w:r w:rsidRPr="00F03379">
              <w:t>92 285 224,48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3 164 812,28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103,6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both"/>
            </w:pPr>
            <w:r w:rsidRPr="00F03379">
              <w:t>Жилищно-коммунальное хозяйство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55 770 736,72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383 847 148,39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328 076 411,67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688,3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both"/>
            </w:pPr>
            <w:r w:rsidRPr="00F03379">
              <w:t>Охрана окружающей среды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6 100 000,00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  <w:rPr>
                <w:color w:val="FF0000"/>
              </w:rPr>
            </w:pPr>
            <w:r w:rsidRPr="00F03379">
              <w:t>6 289 684,00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189 684,00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103,1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both"/>
            </w:pPr>
            <w:r w:rsidRPr="00F03379">
              <w:t>Образование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569 853 907,93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  <w:rPr>
                <w:color w:val="FF0000"/>
              </w:rPr>
            </w:pPr>
            <w:r w:rsidRPr="00F03379">
              <w:t>614 024 853,22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44 170 945,29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107,8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both"/>
            </w:pPr>
            <w:r w:rsidRPr="00F03379">
              <w:t xml:space="preserve">Культура, кинематография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48 200 371,18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73  886 050,31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25 685 679,13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153,3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both"/>
            </w:pPr>
            <w:r w:rsidRPr="00F03379">
              <w:t>Здравоохранение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83 489 200,00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  <w:rPr>
                <w:color w:val="FF0000"/>
              </w:rPr>
            </w:pPr>
            <w:r w:rsidRPr="00F03379">
              <w:t>113 446 941,76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29 957 741,76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135,9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both"/>
            </w:pPr>
            <w:r w:rsidRPr="00F03379">
              <w:t>Социальная политика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93 590 392,96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102 955 835,37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9 365 442,41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110,0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both"/>
            </w:pPr>
            <w:r w:rsidRPr="00F03379">
              <w:t>Физическая культура и спорт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66 977 190,57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  <w:rPr>
                <w:color w:val="FF0000"/>
              </w:rPr>
            </w:pPr>
            <w:r w:rsidRPr="00F03379">
              <w:t xml:space="preserve">71 266 055,99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4 288 865,42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106,4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both"/>
            </w:pPr>
            <w:r w:rsidRPr="00F03379">
              <w:t>Средства массовой информации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4 306 000,00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  <w:rPr>
                <w:color w:val="FF0000"/>
              </w:rPr>
            </w:pPr>
            <w:r w:rsidRPr="00F03379">
              <w:t>5 321 407,54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1 015 407,54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123,6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both"/>
            </w:pPr>
            <w:r w:rsidRPr="00F03379">
              <w:t>Обслуживание муниципального и государственного долга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6 500 000,00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  <w:rPr>
                <w:color w:val="FF0000"/>
              </w:rPr>
            </w:pPr>
            <w:r w:rsidRPr="00F03379">
              <w:rPr>
                <w:spacing w:val="-1"/>
              </w:rPr>
              <w:t>4 809 540,66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-1 690 459,34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</w:pPr>
            <w:r w:rsidRPr="00F03379">
              <w:t>74,0</w:t>
            </w:r>
          </w:p>
        </w:tc>
      </w:tr>
      <w:tr w:rsidR="00F03379" w:rsidRPr="00F03379" w:rsidTr="00F03379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both"/>
              <w:rPr>
                <w:b/>
              </w:rPr>
            </w:pPr>
            <w:r w:rsidRPr="00F03379">
              <w:rPr>
                <w:b/>
              </w:rPr>
              <w:t>Итого расходов: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  <w:rPr>
                <w:b/>
              </w:rPr>
            </w:pPr>
            <w:r w:rsidRPr="00F03379">
              <w:rPr>
                <w:b/>
              </w:rPr>
              <w:t>1 214 322 500,00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  <w:rPr>
                <w:b/>
              </w:rPr>
            </w:pPr>
            <w:r w:rsidRPr="00F03379">
              <w:rPr>
                <w:b/>
              </w:rPr>
              <w:t>1 652 389 644,40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  <w:rPr>
                <w:b/>
              </w:rPr>
            </w:pPr>
            <w:r w:rsidRPr="00F03379">
              <w:rPr>
                <w:b/>
              </w:rPr>
              <w:t>438 067 144,40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F03379" w:rsidRDefault="00F03379" w:rsidP="000A70BB">
            <w:pPr>
              <w:pStyle w:val="ac"/>
              <w:jc w:val="right"/>
              <w:rPr>
                <w:b/>
              </w:rPr>
            </w:pPr>
            <w:r w:rsidRPr="00F03379">
              <w:rPr>
                <w:b/>
              </w:rPr>
              <w:t>136,1</w:t>
            </w:r>
          </w:p>
        </w:tc>
      </w:tr>
    </w:tbl>
    <w:p w:rsidR="00D97B29" w:rsidRPr="00936E1C" w:rsidRDefault="00D97B29" w:rsidP="00F03379">
      <w:pPr>
        <w:pStyle w:val="ac"/>
        <w:spacing w:before="0" w:beforeAutospacing="0" w:after="0" w:afterAutospacing="0"/>
        <w:ind w:firstLine="708"/>
        <w:jc w:val="right"/>
      </w:pPr>
    </w:p>
    <w:p w:rsidR="00D97B29" w:rsidRPr="00936E1C" w:rsidRDefault="00D97B29" w:rsidP="00F2068B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1C">
        <w:rPr>
          <w:rFonts w:ascii="Times New Roman" w:eastAsia="Times New Roman" w:hAnsi="Times New Roman" w:cs="Times New Roman"/>
          <w:sz w:val="24"/>
          <w:szCs w:val="24"/>
        </w:rPr>
        <w:t xml:space="preserve">Как и по доходам, увеличение </w:t>
      </w:r>
      <w:r w:rsidR="00996F63" w:rsidRPr="00936E1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936E1C">
        <w:rPr>
          <w:rFonts w:ascii="Times New Roman" w:eastAsia="Times New Roman" w:hAnsi="Times New Roman" w:cs="Times New Roman"/>
          <w:sz w:val="24"/>
          <w:szCs w:val="24"/>
        </w:rPr>
        <w:t>расходам связано</w:t>
      </w:r>
      <w:r w:rsidR="00996F63" w:rsidRPr="00936E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348" w:rsidRPr="00936E1C">
        <w:rPr>
          <w:rFonts w:ascii="Times New Roman" w:eastAsia="Times New Roman" w:hAnsi="Times New Roman" w:cs="Times New Roman"/>
          <w:sz w:val="24"/>
          <w:szCs w:val="24"/>
        </w:rPr>
        <w:t>в основном</w:t>
      </w:r>
      <w:r w:rsidR="00996F63" w:rsidRPr="00936E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E1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03348" w:rsidRPr="00936E1C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безвозмездными </w:t>
      </w:r>
      <w:r w:rsidRPr="00936E1C">
        <w:rPr>
          <w:rFonts w:ascii="Times New Roman" w:eastAsia="Times New Roman" w:hAnsi="Times New Roman" w:cs="Times New Roman"/>
          <w:sz w:val="24"/>
          <w:szCs w:val="24"/>
        </w:rPr>
        <w:t>поступлени</w:t>
      </w:r>
      <w:r w:rsidR="00D03348" w:rsidRPr="00936E1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6E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03348" w:rsidRPr="00936E1C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D03348" w:rsidRPr="005C0A8F" w:rsidRDefault="00D03348" w:rsidP="00F2068B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A8F">
        <w:rPr>
          <w:rFonts w:ascii="Times New Roman" w:eastAsia="Times New Roman" w:hAnsi="Times New Roman" w:cs="Times New Roman"/>
          <w:sz w:val="24"/>
          <w:szCs w:val="24"/>
        </w:rPr>
        <w:t>Фактическое исполнение по расходам сложилось следующим образом:</w:t>
      </w:r>
    </w:p>
    <w:p w:rsidR="005C0A8F" w:rsidRPr="005C0A8F" w:rsidRDefault="005C0A8F" w:rsidP="005C0A8F">
      <w:pPr>
        <w:pStyle w:val="ac"/>
        <w:spacing w:before="0" w:beforeAutospacing="0" w:after="0" w:afterAutospacing="0"/>
        <w:ind w:firstLine="708"/>
        <w:jc w:val="right"/>
      </w:pPr>
      <w:r w:rsidRPr="005C0A8F">
        <w:t>(в рублях)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3196"/>
        <w:gridCol w:w="1840"/>
        <w:gridCol w:w="1985"/>
        <w:gridCol w:w="1775"/>
      </w:tblGrid>
      <w:tr w:rsidR="005C0A8F" w:rsidRPr="005C0A8F" w:rsidTr="005C0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5C0A8F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5C0A8F">
              <w:rPr>
                <w:b/>
              </w:rPr>
              <w:t>аздел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5C0A8F">
              <w:rPr>
                <w:b/>
              </w:rPr>
              <w:t>Наименование расходов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5C0A8F">
              <w:rPr>
                <w:b/>
              </w:rPr>
              <w:t>Утвержденные бюджетные назначения на 2013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5C0A8F">
              <w:rPr>
                <w:b/>
              </w:rPr>
              <w:t>Исполнение за 2013 год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5C0A8F">
              <w:rPr>
                <w:b/>
              </w:rPr>
              <w:t>Неисполненные назначения</w:t>
            </w:r>
          </w:p>
        </w:tc>
      </w:tr>
      <w:tr w:rsidR="005C0A8F" w:rsidRPr="005C0A8F" w:rsidTr="005C0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0100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Общегосударственные вопросы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158 459 439,79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sz w:val="24"/>
                <w:szCs w:val="24"/>
              </w:rPr>
              <w:t>154 707 039,13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- 3 752 400,66</w:t>
            </w:r>
          </w:p>
        </w:tc>
      </w:tr>
      <w:tr w:rsidR="005C0A8F" w:rsidRPr="005C0A8F" w:rsidTr="005C0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0200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Национальная оборона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  <w:rPr>
                <w:color w:val="FF0000"/>
              </w:rPr>
            </w:pPr>
            <w:r w:rsidRPr="005C0A8F">
              <w:t>3 206 184,75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sz w:val="24"/>
                <w:szCs w:val="24"/>
              </w:rPr>
              <w:t>3 141 955,41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- 64 229,34</w:t>
            </w:r>
          </w:p>
        </w:tc>
      </w:tr>
      <w:tr w:rsidR="005C0A8F" w:rsidRPr="005C0A8F" w:rsidTr="005C0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0300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Национальная безопасность и правоохранительная деятельность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  <w:rPr>
                <w:color w:val="FF0000"/>
              </w:rPr>
            </w:pPr>
            <w:r w:rsidRPr="005C0A8F">
              <w:t>22 591 278,14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sz w:val="24"/>
                <w:szCs w:val="24"/>
              </w:rPr>
              <w:t>22 278 561,23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- 312 716,91</w:t>
            </w:r>
          </w:p>
        </w:tc>
      </w:tr>
      <w:tr w:rsidR="005C0A8F" w:rsidRPr="005C0A8F" w:rsidTr="005C0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0400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Национальная экономика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  <w:rPr>
                <w:color w:val="FF0000"/>
              </w:rPr>
            </w:pPr>
            <w:r w:rsidRPr="005C0A8F">
              <w:t>92 285 224,48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sz w:val="24"/>
                <w:szCs w:val="24"/>
              </w:rPr>
              <w:t>85 835 866,20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- 6 449 358,28</w:t>
            </w:r>
          </w:p>
        </w:tc>
      </w:tr>
      <w:tr w:rsidR="005C0A8F" w:rsidRPr="005C0A8F" w:rsidTr="005C0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0500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Жилищно-коммунальное хозяйство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383 847 148,39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sz w:val="24"/>
                <w:szCs w:val="24"/>
              </w:rPr>
              <w:t>366 235 613,54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- 17 611 534,85</w:t>
            </w:r>
          </w:p>
        </w:tc>
      </w:tr>
      <w:tr w:rsidR="005C0A8F" w:rsidRPr="005C0A8F" w:rsidTr="005C0A8F">
        <w:trPr>
          <w:trHeight w:val="3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0600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  <w:rPr>
                <w:color w:val="FF0000"/>
              </w:rPr>
            </w:pPr>
            <w:r w:rsidRPr="005C0A8F">
              <w:t>6 289 684,00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sz w:val="24"/>
                <w:szCs w:val="24"/>
              </w:rPr>
              <w:t>6 157 601,32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- 132 082,68</w:t>
            </w:r>
          </w:p>
        </w:tc>
      </w:tr>
      <w:tr w:rsidR="005C0A8F" w:rsidRPr="005C0A8F" w:rsidTr="005C0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0700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Образование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  <w:rPr>
                <w:color w:val="FF0000"/>
              </w:rPr>
            </w:pPr>
            <w:r w:rsidRPr="005C0A8F">
              <w:t>614 024 853,22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sz w:val="24"/>
                <w:szCs w:val="24"/>
              </w:rPr>
              <w:t>610 169 298,53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- 3 855 554,69</w:t>
            </w:r>
          </w:p>
        </w:tc>
      </w:tr>
      <w:tr w:rsidR="005C0A8F" w:rsidRPr="005C0A8F" w:rsidTr="005C0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</w:pPr>
            <w:r w:rsidRPr="005C0A8F">
              <w:t>0800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</w:pPr>
            <w:r w:rsidRPr="005C0A8F">
              <w:t xml:space="preserve">Культура, кинематография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73 886 050,31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sz w:val="24"/>
                <w:szCs w:val="24"/>
              </w:rPr>
              <w:t>70 268 933,67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- 3 617 116,64</w:t>
            </w:r>
          </w:p>
        </w:tc>
      </w:tr>
      <w:tr w:rsidR="005C0A8F" w:rsidRPr="005C0A8F" w:rsidTr="005C0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</w:pPr>
            <w:r w:rsidRPr="005C0A8F">
              <w:t>0900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</w:pPr>
            <w:r w:rsidRPr="005C0A8F">
              <w:t xml:space="preserve">Здравоохранение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113 446 941,76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sz w:val="24"/>
                <w:szCs w:val="24"/>
              </w:rPr>
              <w:t>97 553 862,32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- 15 893 079,44</w:t>
            </w:r>
          </w:p>
        </w:tc>
      </w:tr>
      <w:tr w:rsidR="005C0A8F" w:rsidRPr="005C0A8F" w:rsidTr="005C0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center"/>
            </w:pPr>
            <w:r w:rsidRPr="005C0A8F">
              <w:t>1000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</w:pPr>
            <w:r w:rsidRPr="005C0A8F">
              <w:t>Социальная политика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102 955 835,37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90 498 929,77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- 12 456 905,60</w:t>
            </w:r>
          </w:p>
        </w:tc>
      </w:tr>
      <w:tr w:rsidR="005C0A8F" w:rsidRPr="005C0A8F" w:rsidTr="005C0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lastRenderedPageBreak/>
              <w:t>1100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 xml:space="preserve">71 266 055,99 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sz w:val="24"/>
                <w:szCs w:val="24"/>
              </w:rPr>
              <w:t>71 219 561,99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- 46 494,00</w:t>
            </w:r>
          </w:p>
        </w:tc>
      </w:tr>
      <w:tr w:rsidR="005C0A8F" w:rsidRPr="005C0A8F" w:rsidTr="005C0A8F">
        <w:trPr>
          <w:trHeight w:val="30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1200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5 321 407,54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sz w:val="24"/>
                <w:szCs w:val="24"/>
              </w:rPr>
              <w:t>5 321 407,54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0,00</w:t>
            </w:r>
          </w:p>
        </w:tc>
      </w:tr>
      <w:tr w:rsidR="005C0A8F" w:rsidRPr="005C0A8F" w:rsidTr="005C0A8F">
        <w:trPr>
          <w:trHeight w:val="52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</w:pPr>
            <w:r w:rsidRPr="005C0A8F">
              <w:t>1300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и государственного долга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rPr>
                <w:spacing w:val="-1"/>
              </w:rPr>
              <w:t>4 809 540,66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sz w:val="24"/>
                <w:szCs w:val="24"/>
              </w:rPr>
              <w:t>4 809 540,66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</w:pPr>
            <w:r w:rsidRPr="005C0A8F">
              <w:t>0,00</w:t>
            </w:r>
          </w:p>
        </w:tc>
      </w:tr>
      <w:tr w:rsidR="005C0A8F" w:rsidRPr="005C0A8F" w:rsidTr="005C0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5C0A8F">
              <w:rPr>
                <w:b/>
              </w:rPr>
              <w:t>Итого расходов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  <w:rPr>
                <w:b/>
              </w:rPr>
            </w:pPr>
            <w:r w:rsidRPr="005C0A8F">
              <w:rPr>
                <w:b/>
              </w:rPr>
              <w:t>1 652 389 644,40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8F">
              <w:rPr>
                <w:rFonts w:ascii="Times New Roman" w:hAnsi="Times New Roman" w:cs="Times New Roman"/>
                <w:b/>
                <w:sz w:val="24"/>
                <w:szCs w:val="24"/>
              </w:rPr>
              <w:t>1 588 198 171,31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8F" w:rsidRPr="005C0A8F" w:rsidRDefault="005C0A8F" w:rsidP="000A70BB">
            <w:pPr>
              <w:pStyle w:val="ac"/>
              <w:spacing w:before="0" w:beforeAutospacing="0" w:after="0" w:afterAutospacing="0"/>
              <w:jc w:val="right"/>
              <w:rPr>
                <w:b/>
              </w:rPr>
            </w:pPr>
            <w:r w:rsidRPr="005C0A8F">
              <w:rPr>
                <w:b/>
              </w:rPr>
              <w:t>- 64 191 473,09</w:t>
            </w:r>
          </w:p>
        </w:tc>
      </w:tr>
    </w:tbl>
    <w:p w:rsidR="00D97B29" w:rsidRPr="005C0A8F" w:rsidRDefault="00D97B29" w:rsidP="005704B2">
      <w:pPr>
        <w:pStyle w:val="a3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7B29" w:rsidRPr="005C0A8F" w:rsidRDefault="00591390" w:rsidP="00906C46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A8F">
        <w:rPr>
          <w:rFonts w:ascii="Times New Roman" w:eastAsia="Times New Roman" w:hAnsi="Times New Roman" w:cs="Times New Roman"/>
          <w:sz w:val="24"/>
          <w:szCs w:val="24"/>
        </w:rPr>
        <w:t>В пояснительной записке</w:t>
      </w:r>
      <w:r w:rsidR="00906C46" w:rsidRPr="005C0A8F">
        <w:rPr>
          <w:rFonts w:ascii="Times New Roman" w:eastAsia="Times New Roman" w:hAnsi="Times New Roman" w:cs="Times New Roman"/>
          <w:sz w:val="24"/>
          <w:szCs w:val="24"/>
        </w:rPr>
        <w:t xml:space="preserve"> комитета финансов</w:t>
      </w:r>
      <w:r w:rsidR="00996F63" w:rsidRPr="005C0A8F">
        <w:rPr>
          <w:rFonts w:ascii="Times New Roman" w:eastAsia="Times New Roman" w:hAnsi="Times New Roman" w:cs="Times New Roman"/>
          <w:sz w:val="24"/>
          <w:szCs w:val="24"/>
        </w:rPr>
        <w:t>, представленной</w:t>
      </w:r>
      <w:r w:rsidR="00906C46" w:rsidRPr="005C0A8F">
        <w:rPr>
          <w:rFonts w:ascii="Times New Roman" w:eastAsia="Times New Roman" w:hAnsi="Times New Roman" w:cs="Times New Roman"/>
          <w:sz w:val="24"/>
          <w:szCs w:val="24"/>
        </w:rPr>
        <w:t xml:space="preserve"> к отчету об исполнении бюджета города Покачи за 201</w:t>
      </w:r>
      <w:r w:rsidR="00EB62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6C46" w:rsidRPr="005C0A8F">
        <w:rPr>
          <w:rFonts w:ascii="Times New Roman" w:eastAsia="Times New Roman" w:hAnsi="Times New Roman" w:cs="Times New Roman"/>
          <w:sz w:val="24"/>
          <w:szCs w:val="24"/>
        </w:rPr>
        <w:t xml:space="preserve"> год, </w:t>
      </w:r>
      <w:r w:rsidRPr="005C0A8F">
        <w:rPr>
          <w:rFonts w:ascii="Times New Roman" w:eastAsia="Times New Roman" w:hAnsi="Times New Roman" w:cs="Times New Roman"/>
          <w:sz w:val="24"/>
          <w:szCs w:val="24"/>
        </w:rPr>
        <w:t>указаны</w:t>
      </w:r>
      <w:r w:rsidR="00EB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C46" w:rsidRPr="005C0A8F">
        <w:rPr>
          <w:rFonts w:ascii="Times New Roman" w:eastAsia="Times New Roman" w:hAnsi="Times New Roman" w:cs="Times New Roman"/>
          <w:sz w:val="24"/>
          <w:szCs w:val="24"/>
        </w:rPr>
        <w:t>основны</w:t>
      </w:r>
      <w:r w:rsidR="00996F63" w:rsidRPr="005C0A8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06C46" w:rsidRPr="005C0A8F">
        <w:rPr>
          <w:rFonts w:ascii="Times New Roman" w:eastAsia="Times New Roman" w:hAnsi="Times New Roman" w:cs="Times New Roman"/>
          <w:sz w:val="24"/>
          <w:szCs w:val="24"/>
        </w:rPr>
        <w:t xml:space="preserve"> причин</w:t>
      </w:r>
      <w:r w:rsidR="00996F63" w:rsidRPr="005C0A8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06C46" w:rsidRPr="005C0A8F">
        <w:rPr>
          <w:rFonts w:ascii="Times New Roman" w:eastAsia="Times New Roman" w:hAnsi="Times New Roman" w:cs="Times New Roman"/>
          <w:sz w:val="24"/>
          <w:szCs w:val="24"/>
        </w:rPr>
        <w:t xml:space="preserve"> неисполнения плановых назначений:</w:t>
      </w:r>
    </w:p>
    <w:p w:rsidR="00591390" w:rsidRPr="005C0A8F" w:rsidRDefault="00591390" w:rsidP="00203F14">
      <w:pPr>
        <w:pStyle w:val="ac"/>
        <w:numPr>
          <w:ilvl w:val="0"/>
          <w:numId w:val="34"/>
        </w:numPr>
        <w:ind w:left="0" w:firstLine="709"/>
        <w:jc w:val="both"/>
      </w:pPr>
      <w:r w:rsidRPr="005C0A8F">
        <w:t xml:space="preserve">Неиспользование средств </w:t>
      </w:r>
      <w:r w:rsidR="00EB6235">
        <w:t xml:space="preserve">резервного </w:t>
      </w:r>
      <w:r w:rsidR="00EB6235" w:rsidRPr="005A348E">
        <w:t xml:space="preserve">фонда в сумме </w:t>
      </w:r>
      <w:r w:rsidR="00EB6235">
        <w:t>854</w:t>
      </w:r>
      <w:r w:rsidR="00EB6235" w:rsidRPr="005A348E">
        <w:t> </w:t>
      </w:r>
      <w:r w:rsidR="00EB6235">
        <w:t>069</w:t>
      </w:r>
      <w:r w:rsidR="00EB6235" w:rsidRPr="005A348E">
        <w:t>,</w:t>
      </w:r>
      <w:r w:rsidR="00EB6235">
        <w:t>9</w:t>
      </w:r>
      <w:r w:rsidR="00EB6235" w:rsidRPr="005A348E">
        <w:t>9 рубля</w:t>
      </w:r>
      <w:r w:rsidRPr="005C0A8F">
        <w:t xml:space="preserve"> в виду отсутствия ситуаций, для которых фонд предусмотрен.</w:t>
      </w:r>
    </w:p>
    <w:p w:rsidR="000A70BB" w:rsidRPr="004F347C" w:rsidRDefault="000A70BB" w:rsidP="00203F14">
      <w:pPr>
        <w:pStyle w:val="a5"/>
        <w:numPr>
          <w:ilvl w:val="0"/>
          <w:numId w:val="3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F347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подразделу</w:t>
      </w:r>
      <w:r w:rsidRPr="004F347C">
        <w:rPr>
          <w:rFonts w:ascii="Times New Roman" w:hAnsi="Times New Roman"/>
          <w:sz w:val="24"/>
          <w:szCs w:val="24"/>
        </w:rPr>
        <w:t xml:space="preserve"> «Дорожное хозяйство (дорожные фонды)» не освоены средства в сумме 3 707 769,70 рубля. Основными причинами низкого исполнения являются: </w:t>
      </w:r>
    </w:p>
    <w:p w:rsidR="000A70BB" w:rsidRPr="000A70BB" w:rsidRDefault="000A70BB" w:rsidP="000A70B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70BB">
        <w:rPr>
          <w:rFonts w:ascii="Times New Roman" w:hAnsi="Times New Roman"/>
          <w:sz w:val="24"/>
          <w:szCs w:val="24"/>
        </w:rPr>
        <w:t>По программе «Развитие транспортной системы города Покачи на 2011-2015 годы» в соответствии с контрактом от 25.02.2013 года, заключенным с ООО «ДЭУ», оплата услуг за декабрь 2013 года осуществлена в январе 2014 года.</w:t>
      </w:r>
    </w:p>
    <w:p w:rsidR="000A70BB" w:rsidRPr="000A70BB" w:rsidRDefault="000A70BB" w:rsidP="000A70B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70BB">
        <w:rPr>
          <w:rFonts w:ascii="Times New Roman" w:hAnsi="Times New Roman"/>
          <w:sz w:val="24"/>
          <w:szCs w:val="24"/>
        </w:rPr>
        <w:t>Средства бюджета автономного округа, поступившие в рамках программы «Наш дом» на 2011-2015гг.», освоены в объеме фактически выполненных работ подрядной организацией. Неосвоенные средства являются экономией.</w:t>
      </w:r>
    </w:p>
    <w:p w:rsidR="000A70BB" w:rsidRPr="000A70BB" w:rsidRDefault="000A70BB" w:rsidP="000A70B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70BB">
        <w:rPr>
          <w:rFonts w:ascii="Times New Roman" w:hAnsi="Times New Roman"/>
          <w:sz w:val="24"/>
          <w:szCs w:val="24"/>
        </w:rPr>
        <w:t>В рамках подпрограммы «Автомобильные дороги» программы «Развитие транспортной системы ХМАО-Югры на 2011-2013 годы и на период до 2015 года» средства освоены не в полном объеме по следующим причинам:</w:t>
      </w:r>
    </w:p>
    <w:p w:rsidR="000A70BB" w:rsidRPr="004F347C" w:rsidRDefault="000A70BB" w:rsidP="000A70BB">
      <w:pPr>
        <w:pStyle w:val="a5"/>
        <w:shd w:val="clear" w:color="auto" w:fill="FFFFFF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347C">
        <w:rPr>
          <w:rFonts w:ascii="Times New Roman" w:hAnsi="Times New Roman"/>
          <w:sz w:val="24"/>
          <w:szCs w:val="24"/>
        </w:rPr>
        <w:t>а) несвоевременно</w:t>
      </w:r>
      <w:r>
        <w:rPr>
          <w:rFonts w:ascii="Times New Roman" w:hAnsi="Times New Roman"/>
          <w:sz w:val="24"/>
          <w:szCs w:val="24"/>
        </w:rPr>
        <w:t>е</w:t>
      </w:r>
      <w:r w:rsidRPr="004F347C">
        <w:rPr>
          <w:rFonts w:ascii="Times New Roman" w:hAnsi="Times New Roman"/>
          <w:sz w:val="24"/>
          <w:szCs w:val="24"/>
        </w:rPr>
        <w:t xml:space="preserve"> устранени</w:t>
      </w:r>
      <w:r>
        <w:rPr>
          <w:rFonts w:ascii="Times New Roman" w:hAnsi="Times New Roman"/>
          <w:sz w:val="24"/>
          <w:szCs w:val="24"/>
        </w:rPr>
        <w:t>е</w:t>
      </w:r>
      <w:r w:rsidRPr="004F347C">
        <w:rPr>
          <w:rFonts w:ascii="Times New Roman" w:hAnsi="Times New Roman"/>
          <w:sz w:val="24"/>
          <w:szCs w:val="24"/>
        </w:rPr>
        <w:t xml:space="preserve"> проектной организацией замечаний, </w:t>
      </w:r>
      <w:r>
        <w:rPr>
          <w:rFonts w:ascii="Times New Roman" w:hAnsi="Times New Roman"/>
          <w:sz w:val="24"/>
          <w:szCs w:val="24"/>
        </w:rPr>
        <w:t>отсутстви</w:t>
      </w:r>
      <w:r w:rsidR="0042116E">
        <w:rPr>
          <w:rFonts w:ascii="Times New Roman" w:hAnsi="Times New Roman"/>
          <w:sz w:val="24"/>
          <w:szCs w:val="24"/>
        </w:rPr>
        <w:t>е</w:t>
      </w:r>
      <w:r w:rsidRPr="004F347C">
        <w:rPr>
          <w:rFonts w:ascii="Times New Roman" w:hAnsi="Times New Roman"/>
          <w:sz w:val="24"/>
          <w:szCs w:val="24"/>
        </w:rPr>
        <w:t xml:space="preserve"> положительно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4F347C">
        <w:rPr>
          <w:rFonts w:ascii="Times New Roman" w:hAnsi="Times New Roman"/>
          <w:sz w:val="24"/>
          <w:szCs w:val="24"/>
        </w:rPr>
        <w:t>заключени</w:t>
      </w:r>
      <w:r>
        <w:rPr>
          <w:rFonts w:ascii="Times New Roman" w:hAnsi="Times New Roman"/>
          <w:sz w:val="24"/>
          <w:szCs w:val="24"/>
        </w:rPr>
        <w:t>я</w:t>
      </w:r>
      <w:r w:rsidRPr="004F347C">
        <w:rPr>
          <w:rFonts w:ascii="Times New Roman" w:hAnsi="Times New Roman"/>
          <w:sz w:val="24"/>
          <w:szCs w:val="24"/>
        </w:rPr>
        <w:t xml:space="preserve"> государственной экспертизы по проекту, </w:t>
      </w:r>
      <w:r>
        <w:rPr>
          <w:rFonts w:ascii="Times New Roman" w:hAnsi="Times New Roman"/>
          <w:sz w:val="24"/>
          <w:szCs w:val="24"/>
        </w:rPr>
        <w:t>делающими</w:t>
      </w:r>
      <w:r w:rsidRPr="004F347C">
        <w:rPr>
          <w:rFonts w:ascii="Times New Roman" w:hAnsi="Times New Roman"/>
          <w:sz w:val="24"/>
          <w:szCs w:val="24"/>
        </w:rPr>
        <w:t xml:space="preserve"> дальнейш</w:t>
      </w:r>
      <w:r>
        <w:rPr>
          <w:rFonts w:ascii="Times New Roman" w:hAnsi="Times New Roman"/>
          <w:sz w:val="24"/>
          <w:szCs w:val="24"/>
        </w:rPr>
        <w:t>ую</w:t>
      </w:r>
      <w:r w:rsidRPr="004F347C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ю</w:t>
      </w:r>
      <w:r w:rsidRPr="004F347C">
        <w:rPr>
          <w:rFonts w:ascii="Times New Roman" w:hAnsi="Times New Roman"/>
          <w:sz w:val="24"/>
          <w:szCs w:val="24"/>
        </w:rPr>
        <w:t xml:space="preserve"> мероприятия невозможным;</w:t>
      </w:r>
      <w:proofErr w:type="gramEnd"/>
    </w:p>
    <w:p w:rsidR="000A70BB" w:rsidRPr="004F347C" w:rsidRDefault="000A70BB" w:rsidP="000A70BB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4F347C">
        <w:rPr>
          <w:rFonts w:ascii="Times New Roman" w:hAnsi="Times New Roman"/>
          <w:sz w:val="24"/>
          <w:szCs w:val="24"/>
        </w:rPr>
        <w:t xml:space="preserve">б) отклонение объема произведенных расходов от плановых показателей  </w:t>
      </w:r>
      <w:r>
        <w:rPr>
          <w:rFonts w:ascii="Times New Roman" w:hAnsi="Times New Roman"/>
          <w:sz w:val="24"/>
          <w:szCs w:val="24"/>
        </w:rPr>
        <w:t>в связи</w:t>
      </w:r>
      <w:r w:rsidRPr="004F347C">
        <w:rPr>
          <w:rFonts w:ascii="Times New Roman" w:hAnsi="Times New Roman"/>
          <w:sz w:val="24"/>
          <w:szCs w:val="24"/>
        </w:rPr>
        <w:t xml:space="preserve"> с неисполнением подрядчиком принятых контрактных обязательств;</w:t>
      </w:r>
    </w:p>
    <w:p w:rsidR="000A70BB" w:rsidRPr="00AE08BA" w:rsidRDefault="000A70BB" w:rsidP="000A70BB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4F347C">
        <w:rPr>
          <w:rFonts w:ascii="Times New Roman" w:hAnsi="Times New Roman"/>
          <w:sz w:val="24"/>
          <w:szCs w:val="24"/>
        </w:rPr>
        <w:t>в</w:t>
      </w:r>
      <w:r w:rsidRPr="00AE08BA">
        <w:rPr>
          <w:rFonts w:ascii="Times New Roman" w:hAnsi="Times New Roman"/>
          <w:sz w:val="24"/>
          <w:szCs w:val="24"/>
        </w:rPr>
        <w:t>) недостаточн</w:t>
      </w:r>
      <w:r w:rsidR="0042116E">
        <w:rPr>
          <w:rFonts w:ascii="Times New Roman" w:hAnsi="Times New Roman"/>
          <w:sz w:val="24"/>
          <w:szCs w:val="24"/>
        </w:rPr>
        <w:t>ый</w:t>
      </w:r>
      <w:r w:rsidRPr="00AE08BA">
        <w:rPr>
          <w:rFonts w:ascii="Times New Roman" w:hAnsi="Times New Roman"/>
          <w:sz w:val="24"/>
          <w:szCs w:val="24"/>
        </w:rPr>
        <w:t xml:space="preserve"> объем средств, первоначально утвержденных на установку остановочного павильона</w:t>
      </w:r>
      <w:r>
        <w:rPr>
          <w:rFonts w:ascii="Times New Roman" w:hAnsi="Times New Roman"/>
          <w:sz w:val="24"/>
          <w:szCs w:val="24"/>
        </w:rPr>
        <w:t xml:space="preserve">, что затруднило </w:t>
      </w:r>
      <w:r w:rsidRPr="00AE08BA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>дение</w:t>
      </w:r>
      <w:r w:rsidRPr="00AE08BA">
        <w:rPr>
          <w:rFonts w:ascii="Times New Roman" w:hAnsi="Times New Roman"/>
          <w:sz w:val="24"/>
          <w:szCs w:val="24"/>
        </w:rPr>
        <w:t xml:space="preserve"> торг</w:t>
      </w:r>
      <w:r>
        <w:rPr>
          <w:rFonts w:ascii="Times New Roman" w:hAnsi="Times New Roman"/>
          <w:sz w:val="24"/>
          <w:szCs w:val="24"/>
        </w:rPr>
        <w:t>ов</w:t>
      </w:r>
      <w:r w:rsidRPr="00AE08BA">
        <w:rPr>
          <w:rFonts w:ascii="Times New Roman" w:hAnsi="Times New Roman"/>
          <w:sz w:val="24"/>
          <w:szCs w:val="24"/>
        </w:rPr>
        <w:t xml:space="preserve">. </w:t>
      </w:r>
    </w:p>
    <w:p w:rsidR="000A70BB" w:rsidRPr="00AE08BA" w:rsidRDefault="000A70BB" w:rsidP="00203F14">
      <w:pPr>
        <w:pStyle w:val="a5"/>
        <w:numPr>
          <w:ilvl w:val="0"/>
          <w:numId w:val="34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08BA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подразделу</w:t>
      </w:r>
      <w:r w:rsidRPr="00AE08BA">
        <w:rPr>
          <w:rFonts w:ascii="Times New Roman" w:hAnsi="Times New Roman"/>
          <w:sz w:val="24"/>
          <w:szCs w:val="24"/>
        </w:rPr>
        <w:t xml:space="preserve"> «Другие вопросы в области национальной экономики» не освоены средства в сумме 2 314 609,10 рубля. Причины: </w:t>
      </w:r>
    </w:p>
    <w:p w:rsidR="000A70BB" w:rsidRDefault="000A70BB" w:rsidP="000A70BB">
      <w:pPr>
        <w:pStyle w:val="a5"/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8BA">
        <w:rPr>
          <w:rFonts w:ascii="Times New Roman" w:hAnsi="Times New Roman"/>
          <w:sz w:val="24"/>
          <w:szCs w:val="24"/>
        </w:rPr>
        <w:t>- по мероприятию «Выполнение работ по внесению изменений в генеральный план города Покачи» программы «Разработка документов градостроительного регулирования города Покачи на 2013-2015 годы» не использованы средства в связи с длительной процедурой поступления денежных средств из окружного бюджета. Контракт по итогам торгов на  выполнение работ по внесению изменений в генеральный план города Покачи будет заключен в 2014 году</w:t>
      </w:r>
      <w:r>
        <w:rPr>
          <w:rFonts w:ascii="Times New Roman" w:hAnsi="Times New Roman"/>
          <w:sz w:val="24"/>
          <w:szCs w:val="24"/>
        </w:rPr>
        <w:t>;</w:t>
      </w:r>
    </w:p>
    <w:p w:rsidR="000A70BB" w:rsidRPr="00AE08BA" w:rsidRDefault="000A70BB" w:rsidP="000A70B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средствам, выделенным </w:t>
      </w:r>
      <w:r w:rsidRPr="00CB510D">
        <w:rPr>
          <w:rFonts w:ascii="Times New Roman" w:hAnsi="Times New Roman"/>
          <w:color w:val="000000"/>
          <w:sz w:val="24"/>
          <w:szCs w:val="24"/>
        </w:rPr>
        <w:t>из бюджета автономного округа на организацию сбора и обработки информации о состоянии условий и охраны труда у работодателей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B510D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сложилась экономия. Финансирование осуществлялось в соответствии с поданными </w:t>
      </w:r>
      <w:r w:rsidRPr="00AE08BA">
        <w:rPr>
          <w:rFonts w:ascii="Times New Roman" w:hAnsi="Times New Roman"/>
          <w:sz w:val="24"/>
          <w:szCs w:val="24"/>
        </w:rPr>
        <w:t>заявками и документами, подтверждающими расходы;</w:t>
      </w:r>
    </w:p>
    <w:p w:rsidR="000A70BB" w:rsidRDefault="000A70BB" w:rsidP="000A70B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08BA">
        <w:rPr>
          <w:rFonts w:ascii="Times New Roman" w:hAnsi="Times New Roman"/>
          <w:sz w:val="24"/>
          <w:szCs w:val="24"/>
        </w:rPr>
        <w:t>- в рамках реализации программы «Поддержка и развитие малого и среднего предпринимательства на территории города Покачи» в течени</w:t>
      </w:r>
      <w:r>
        <w:rPr>
          <w:rFonts w:ascii="Times New Roman" w:hAnsi="Times New Roman"/>
          <w:sz w:val="24"/>
          <w:szCs w:val="24"/>
        </w:rPr>
        <w:t>е</w:t>
      </w:r>
      <w:r w:rsidRPr="00AE08BA">
        <w:rPr>
          <w:rFonts w:ascii="Times New Roman" w:hAnsi="Times New Roman"/>
          <w:sz w:val="24"/>
          <w:szCs w:val="24"/>
        </w:rPr>
        <w:t xml:space="preserve"> года проводились мероприятия с участием субъектов малого и среднего предпринимательства. В связи с отсутствием желающих среди СМП принимать участие в проводимых мероприятиях расходы на их организацию и проведение сложились в объеме, ниже планируемых</w:t>
      </w:r>
      <w:r>
        <w:rPr>
          <w:rFonts w:ascii="Times New Roman" w:hAnsi="Times New Roman"/>
          <w:sz w:val="24"/>
          <w:szCs w:val="24"/>
        </w:rPr>
        <w:t>;</w:t>
      </w:r>
    </w:p>
    <w:p w:rsidR="000A70BB" w:rsidRDefault="000A70BB" w:rsidP="000A70B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CB510D">
        <w:rPr>
          <w:rFonts w:ascii="Times New Roman" w:hAnsi="Times New Roman"/>
          <w:color w:val="000000"/>
          <w:sz w:val="24"/>
          <w:szCs w:val="24"/>
        </w:rPr>
        <w:t>еализация мероприятий по программе «Поддержка и развитие малого и среднего предпринимательства на территории города Покачи»  осуществляется на основании заявок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B510D">
        <w:rPr>
          <w:rFonts w:ascii="Times New Roman" w:hAnsi="Times New Roman"/>
          <w:color w:val="000000"/>
          <w:sz w:val="24"/>
          <w:szCs w:val="24"/>
        </w:rPr>
        <w:t xml:space="preserve"> поступающих от индивидуальных предпринимателей на получение финансовой поддержки. В 2013г. заявок от индивидуальных предпринимателей на получение финансовой поддержки поступило в меньшем объеме, чем планировалось.</w:t>
      </w:r>
    </w:p>
    <w:p w:rsidR="000A70BB" w:rsidRPr="00E85069" w:rsidRDefault="000A70BB" w:rsidP="000A70BB">
      <w:pPr>
        <w:pStyle w:val="ac"/>
        <w:spacing w:before="0" w:beforeAutospacing="0" w:after="0" w:afterAutospacing="0"/>
        <w:ind w:firstLine="708"/>
        <w:jc w:val="both"/>
      </w:pPr>
      <w:r>
        <w:t>4. По разделу «Жилищно-коммунальное хозяйство» н</w:t>
      </w:r>
      <w:r w:rsidRPr="00E85069">
        <w:t>е исполнено 1</w:t>
      </w:r>
      <w:r>
        <w:t>7</w:t>
      </w:r>
      <w:r w:rsidRPr="00E85069">
        <w:t> 6</w:t>
      </w:r>
      <w:r>
        <w:t>11</w:t>
      </w:r>
      <w:r w:rsidRPr="00E85069">
        <w:t> </w:t>
      </w:r>
      <w:r>
        <w:t>534</w:t>
      </w:r>
      <w:r w:rsidRPr="00E85069">
        <w:t>,8</w:t>
      </w:r>
      <w:r>
        <w:t>5</w:t>
      </w:r>
      <w:r w:rsidRPr="00E85069">
        <w:t xml:space="preserve"> рубля.</w:t>
      </w:r>
    </w:p>
    <w:p w:rsidR="000A70BB" w:rsidRPr="00E85069" w:rsidRDefault="000A70BB" w:rsidP="000A70BB">
      <w:pPr>
        <w:pStyle w:val="ac"/>
        <w:spacing w:before="0" w:beforeAutospacing="0" w:after="0" w:afterAutospacing="0"/>
        <w:ind w:firstLine="709"/>
        <w:jc w:val="both"/>
      </w:pPr>
      <w:r w:rsidRPr="00E85069">
        <w:t xml:space="preserve">Основные причины отклонений: </w:t>
      </w:r>
    </w:p>
    <w:p w:rsidR="00203F14" w:rsidRPr="00203F14" w:rsidRDefault="000A70BB" w:rsidP="00203F14">
      <w:pPr>
        <w:pStyle w:val="a5"/>
        <w:shd w:val="clear" w:color="auto" w:fill="FFFFFF"/>
        <w:tabs>
          <w:tab w:val="num" w:pos="1211"/>
        </w:tabs>
        <w:spacing w:after="0"/>
        <w:ind w:left="0" w:right="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CB1">
        <w:rPr>
          <w:rFonts w:ascii="Times New Roman" w:hAnsi="Times New Roman"/>
          <w:sz w:val="24"/>
          <w:szCs w:val="24"/>
        </w:rPr>
        <w:t xml:space="preserve">Денежные средства в размере 437 000,00 рублей поступили в город Покачи только 26.12.2013 года, что не позволило их освоить в 2013 году. Данные средства планируются </w:t>
      </w:r>
      <w:r w:rsidRPr="00203F14">
        <w:rPr>
          <w:rFonts w:ascii="Times New Roman" w:hAnsi="Times New Roman" w:cs="Times New Roman"/>
          <w:sz w:val="24"/>
          <w:szCs w:val="24"/>
        </w:rPr>
        <w:t>к освоению в 2014 году в рамках программы «Энергосбережение и повышение энергетической эффективности в городе Покачи на 2010-2015 годы и на перспективу до 2020 года»</w:t>
      </w:r>
      <w:r w:rsidR="00203F14" w:rsidRPr="00203F14">
        <w:rPr>
          <w:rFonts w:ascii="Times New Roman" w:hAnsi="Times New Roman" w:cs="Times New Roman"/>
          <w:sz w:val="24"/>
          <w:szCs w:val="24"/>
        </w:rPr>
        <w:t>.</w:t>
      </w:r>
      <w:r w:rsidRPr="00203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F14" w:rsidRPr="00203F14" w:rsidRDefault="000A70BB" w:rsidP="00203F14">
      <w:pPr>
        <w:pStyle w:val="a5"/>
        <w:shd w:val="clear" w:color="auto" w:fill="FFFFFF"/>
        <w:tabs>
          <w:tab w:val="num" w:pos="1211"/>
        </w:tabs>
        <w:spacing w:after="0"/>
        <w:ind w:left="0" w:right="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3F14">
        <w:rPr>
          <w:rFonts w:ascii="Times New Roman" w:hAnsi="Times New Roman" w:cs="Times New Roman"/>
          <w:sz w:val="24"/>
          <w:szCs w:val="24"/>
        </w:rPr>
        <w:t>За  проведение работ по капитальному ремонту ДЭС городской котельной г. Покачи произведен аванс в размере 30%. Работы будут выполнены и оплачены в 2014 году.</w:t>
      </w:r>
    </w:p>
    <w:p w:rsidR="000A70BB" w:rsidRDefault="000A70BB" w:rsidP="00203F14">
      <w:pPr>
        <w:pStyle w:val="a5"/>
        <w:shd w:val="clear" w:color="auto" w:fill="FFFFFF"/>
        <w:tabs>
          <w:tab w:val="num" w:pos="1211"/>
        </w:tabs>
        <w:spacing w:after="0"/>
        <w:ind w:left="0" w:right="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3F14">
        <w:rPr>
          <w:rFonts w:ascii="Times New Roman" w:hAnsi="Times New Roman" w:cs="Times New Roman"/>
          <w:sz w:val="24"/>
          <w:szCs w:val="24"/>
        </w:rPr>
        <w:t>По соглашению</w:t>
      </w:r>
      <w:r w:rsidR="0042116E">
        <w:rPr>
          <w:rFonts w:ascii="Times New Roman" w:hAnsi="Times New Roman" w:cs="Times New Roman"/>
          <w:sz w:val="24"/>
          <w:szCs w:val="24"/>
        </w:rPr>
        <w:t>,</w:t>
      </w:r>
      <w:r w:rsidRPr="00203F14">
        <w:rPr>
          <w:rFonts w:ascii="Times New Roman" w:hAnsi="Times New Roman" w:cs="Times New Roman"/>
          <w:sz w:val="24"/>
          <w:szCs w:val="24"/>
        </w:rPr>
        <w:t xml:space="preserve"> заключенному с ЗАО «</w:t>
      </w:r>
      <w:proofErr w:type="spellStart"/>
      <w:r w:rsidRPr="00203F14">
        <w:rPr>
          <w:rFonts w:ascii="Times New Roman" w:hAnsi="Times New Roman" w:cs="Times New Roman"/>
          <w:sz w:val="24"/>
          <w:szCs w:val="24"/>
        </w:rPr>
        <w:t>УТВиК</w:t>
      </w:r>
      <w:proofErr w:type="spellEnd"/>
      <w:r w:rsidRPr="00203F14">
        <w:rPr>
          <w:rFonts w:ascii="Times New Roman" w:hAnsi="Times New Roman" w:cs="Times New Roman"/>
          <w:sz w:val="24"/>
          <w:szCs w:val="24"/>
        </w:rPr>
        <w:t xml:space="preserve">» на приобретение запорной арматуры и </w:t>
      </w:r>
      <w:r w:rsidRPr="009B1532">
        <w:rPr>
          <w:rFonts w:ascii="Times New Roman" w:hAnsi="Times New Roman" w:cs="Times New Roman"/>
          <w:sz w:val="24"/>
          <w:szCs w:val="24"/>
        </w:rPr>
        <w:t>неподвижных опор трубопровода тепловой сети</w:t>
      </w:r>
      <w:r w:rsidR="0042116E">
        <w:rPr>
          <w:rFonts w:ascii="Times New Roman" w:hAnsi="Times New Roman" w:cs="Times New Roman"/>
          <w:sz w:val="24"/>
          <w:szCs w:val="24"/>
        </w:rPr>
        <w:t>,</w:t>
      </w:r>
      <w:r w:rsidRPr="009B1532">
        <w:rPr>
          <w:rFonts w:ascii="Times New Roman" w:hAnsi="Times New Roman" w:cs="Times New Roman"/>
          <w:sz w:val="24"/>
          <w:szCs w:val="24"/>
        </w:rPr>
        <w:t xml:space="preserve"> оплата произведена в размере 30%. Окончательный расчет будет произведен в 2014 году.</w:t>
      </w:r>
    </w:p>
    <w:p w:rsidR="006D3AC9" w:rsidRDefault="006D3AC9" w:rsidP="006D3AC9">
      <w:pPr>
        <w:shd w:val="clear" w:color="auto" w:fill="FFFFFF"/>
        <w:spacing w:after="0"/>
        <w:ind w:right="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A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По разделу «Культура, кинематография»</w:t>
      </w:r>
      <w:r w:rsidRPr="006D3AC9">
        <w:rPr>
          <w:rFonts w:ascii="Times New Roman" w:hAnsi="Times New Roman" w:cs="Times New Roman"/>
          <w:sz w:val="24"/>
          <w:szCs w:val="24"/>
        </w:rPr>
        <w:t xml:space="preserve"> не исполнено 3 617 116,64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C9" w:rsidRPr="009611E4" w:rsidRDefault="006D3AC9" w:rsidP="006D3AC9">
      <w:pPr>
        <w:pStyle w:val="ac"/>
        <w:spacing w:before="0" w:beforeAutospacing="0" w:after="0" w:afterAutospacing="0"/>
        <w:jc w:val="both"/>
      </w:pPr>
      <w:r w:rsidRPr="009611E4">
        <w:t xml:space="preserve">Основные причины отклонений: </w:t>
      </w:r>
    </w:p>
    <w:p w:rsidR="006D3AC9" w:rsidRPr="009611E4" w:rsidRDefault="0042116E" w:rsidP="006D3AC9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6D3AC9" w:rsidRPr="009611E4">
        <w:rPr>
          <w:rFonts w:ascii="Times New Roman" w:hAnsi="Times New Roman"/>
          <w:sz w:val="24"/>
          <w:szCs w:val="24"/>
        </w:rPr>
        <w:t xml:space="preserve"> рамках реализации целевой программы ХМАО-Югры «Культура Югры на 2011-2013 годы и на период до 2015 года»  подпрограммы «Обеспечение комплексной безопасности и комфортных условий в учреждениях культуры», утвержденной  постановлением правительства ХМАО-Югры от 29.10.2010 №270-П, был заключен  муниципальный контракт от 21.06.2013г №0187300019113000061-0159604-01  на поставку хоровых станков с ООО «</w:t>
      </w:r>
      <w:proofErr w:type="spellStart"/>
      <w:r w:rsidR="006D3AC9" w:rsidRPr="009611E4">
        <w:rPr>
          <w:rFonts w:ascii="Times New Roman" w:hAnsi="Times New Roman"/>
          <w:sz w:val="24"/>
          <w:szCs w:val="24"/>
        </w:rPr>
        <w:t>Спецэлектроника</w:t>
      </w:r>
      <w:proofErr w:type="spellEnd"/>
      <w:r w:rsidR="006D3AC9" w:rsidRPr="009611E4">
        <w:rPr>
          <w:rFonts w:ascii="Times New Roman" w:hAnsi="Times New Roman"/>
          <w:sz w:val="24"/>
          <w:szCs w:val="24"/>
        </w:rPr>
        <w:t>» на сумму 398 351,25 рубл</w:t>
      </w:r>
      <w:r w:rsidR="006D3AC9">
        <w:rPr>
          <w:rFonts w:ascii="Times New Roman" w:hAnsi="Times New Roman"/>
          <w:sz w:val="24"/>
          <w:szCs w:val="24"/>
        </w:rPr>
        <w:t>я.</w:t>
      </w:r>
      <w:r w:rsidR="006D3AC9" w:rsidRPr="009611E4">
        <w:rPr>
          <w:rFonts w:ascii="Times New Roman" w:hAnsi="Times New Roman"/>
          <w:sz w:val="24"/>
          <w:szCs w:val="24"/>
        </w:rPr>
        <w:t xml:space="preserve"> 20.12.2013 по соглашению сторон вышеуказанный контракт</w:t>
      </w:r>
      <w:proofErr w:type="gramEnd"/>
      <w:r w:rsidR="006D3A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3AC9" w:rsidRPr="009611E4">
        <w:rPr>
          <w:rFonts w:ascii="Times New Roman" w:hAnsi="Times New Roman"/>
          <w:sz w:val="24"/>
          <w:szCs w:val="24"/>
        </w:rPr>
        <w:t>был</w:t>
      </w:r>
      <w:proofErr w:type="gramEnd"/>
      <w:r w:rsidR="006D3AC9" w:rsidRPr="009611E4">
        <w:rPr>
          <w:rFonts w:ascii="Times New Roman" w:hAnsi="Times New Roman"/>
          <w:sz w:val="24"/>
          <w:szCs w:val="24"/>
        </w:rPr>
        <w:t xml:space="preserve"> расторгнут, в связи с чем плановые показатели использованы не в полном объеме</w:t>
      </w:r>
      <w:r>
        <w:rPr>
          <w:rFonts w:ascii="Times New Roman" w:hAnsi="Times New Roman"/>
          <w:sz w:val="24"/>
          <w:szCs w:val="24"/>
        </w:rPr>
        <w:t>;</w:t>
      </w:r>
    </w:p>
    <w:p w:rsidR="006D3AC9" w:rsidRDefault="0042116E" w:rsidP="006D3AC9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D3AC9">
        <w:rPr>
          <w:rFonts w:ascii="Times New Roman" w:hAnsi="Times New Roman"/>
          <w:sz w:val="24"/>
          <w:szCs w:val="24"/>
        </w:rPr>
        <w:t>о мероприятию</w:t>
      </w:r>
      <w:r w:rsidR="006D3AC9" w:rsidRPr="006D3AC9">
        <w:rPr>
          <w:rFonts w:ascii="Times New Roman" w:hAnsi="Times New Roman"/>
          <w:sz w:val="24"/>
          <w:szCs w:val="24"/>
        </w:rPr>
        <w:t xml:space="preserve"> </w:t>
      </w:r>
      <w:r w:rsidR="006D3AC9" w:rsidRPr="009611E4">
        <w:rPr>
          <w:rFonts w:ascii="Times New Roman" w:hAnsi="Times New Roman"/>
          <w:sz w:val="24"/>
          <w:szCs w:val="24"/>
        </w:rPr>
        <w:t>техническое обследование объекта "Центр искусств"</w:t>
      </w:r>
      <w:r w:rsidR="006D3AC9" w:rsidRPr="006D3AC9">
        <w:rPr>
          <w:rFonts w:ascii="Times New Roman" w:hAnsi="Times New Roman"/>
          <w:sz w:val="24"/>
          <w:szCs w:val="24"/>
        </w:rPr>
        <w:t xml:space="preserve"> </w:t>
      </w:r>
      <w:r w:rsidR="006D3AC9">
        <w:rPr>
          <w:rFonts w:ascii="Times New Roman" w:hAnsi="Times New Roman"/>
          <w:sz w:val="24"/>
          <w:szCs w:val="24"/>
        </w:rPr>
        <w:t>о</w:t>
      </w:r>
      <w:r w:rsidR="006D3AC9" w:rsidRPr="009611E4">
        <w:rPr>
          <w:rFonts w:ascii="Times New Roman" w:hAnsi="Times New Roman"/>
          <w:sz w:val="24"/>
          <w:szCs w:val="24"/>
        </w:rPr>
        <w:t>тклонение суммы в размере 2 702 254,92 рубля произведенных расходов от плановых показателей связано с неисполнением подрядчиком принятых контрактных обязательств. Средства автономного округа возвращены в округ</w:t>
      </w:r>
      <w:r>
        <w:rPr>
          <w:rFonts w:ascii="Times New Roman" w:hAnsi="Times New Roman"/>
          <w:sz w:val="24"/>
          <w:szCs w:val="24"/>
        </w:rPr>
        <w:t>.</w:t>
      </w:r>
    </w:p>
    <w:p w:rsidR="006D3AC9" w:rsidRPr="00A22C82" w:rsidRDefault="0042116E" w:rsidP="006D3AC9">
      <w:pPr>
        <w:pStyle w:val="ac"/>
        <w:numPr>
          <w:ilvl w:val="0"/>
          <w:numId w:val="33"/>
        </w:numPr>
        <w:spacing w:before="0" w:beforeAutospacing="0" w:after="0" w:afterAutospacing="0"/>
        <w:ind w:hanging="11"/>
        <w:jc w:val="both"/>
      </w:pPr>
      <w:r>
        <w:t>П</w:t>
      </w:r>
      <w:r w:rsidR="006D3AC9">
        <w:t>о разделу «Здравоохранение» н</w:t>
      </w:r>
      <w:r w:rsidR="006D3AC9" w:rsidRPr="00A22C82">
        <w:t>е исполнено 15 893 079,44 рубля.</w:t>
      </w:r>
    </w:p>
    <w:p w:rsidR="006D3AC9" w:rsidRPr="00A22C82" w:rsidRDefault="006D3AC9" w:rsidP="006D3AC9">
      <w:pPr>
        <w:pStyle w:val="ac"/>
        <w:spacing w:before="0" w:beforeAutospacing="0" w:after="0" w:afterAutospacing="0"/>
        <w:jc w:val="both"/>
      </w:pPr>
      <w:r w:rsidRPr="00A22C82">
        <w:t xml:space="preserve">Основные причины отклонений: </w:t>
      </w:r>
    </w:p>
    <w:p w:rsidR="006D3AC9" w:rsidRPr="00A22C82" w:rsidRDefault="0042116E" w:rsidP="006D3AC9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D3AC9" w:rsidRPr="00A22C82">
        <w:rPr>
          <w:rFonts w:ascii="Times New Roman" w:hAnsi="Times New Roman"/>
          <w:sz w:val="24"/>
          <w:szCs w:val="24"/>
        </w:rPr>
        <w:t xml:space="preserve">чреждением здравоохранения в 2013 году расходы осуществлялись в соответствии с заключенными договорами, контрактами и документами, подтверждающими расходы. Остаток неиспользованных средств по </w:t>
      </w:r>
      <w:r w:rsidR="006D3AC9">
        <w:rPr>
          <w:rFonts w:ascii="Times New Roman" w:hAnsi="Times New Roman"/>
          <w:sz w:val="24"/>
          <w:szCs w:val="24"/>
        </w:rPr>
        <w:t xml:space="preserve">подразделу </w:t>
      </w:r>
      <w:r w:rsidR="006D3AC9" w:rsidRPr="00A22C82">
        <w:rPr>
          <w:rFonts w:ascii="Times New Roman" w:hAnsi="Times New Roman"/>
          <w:sz w:val="24"/>
          <w:szCs w:val="24"/>
        </w:rPr>
        <w:lastRenderedPageBreak/>
        <w:t>«Амбулаторная помощь» в сумме 14 795 658,39 рубля является экономией по итогам осуществления финансово-хозяйственной деятельности учреждения в 2013 году</w:t>
      </w:r>
      <w:r>
        <w:rPr>
          <w:rFonts w:ascii="Times New Roman" w:hAnsi="Times New Roman"/>
          <w:sz w:val="24"/>
          <w:szCs w:val="24"/>
        </w:rPr>
        <w:t>;</w:t>
      </w:r>
    </w:p>
    <w:p w:rsidR="006D3AC9" w:rsidRPr="00A22C82" w:rsidRDefault="0042116E" w:rsidP="00C54252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D3AC9" w:rsidRPr="00A22C82">
        <w:rPr>
          <w:rFonts w:ascii="Times New Roman" w:hAnsi="Times New Roman"/>
          <w:sz w:val="24"/>
          <w:szCs w:val="24"/>
        </w:rPr>
        <w:t xml:space="preserve">о </w:t>
      </w:r>
      <w:r w:rsidR="006D3AC9">
        <w:rPr>
          <w:rFonts w:ascii="Times New Roman" w:hAnsi="Times New Roman"/>
          <w:sz w:val="24"/>
          <w:szCs w:val="24"/>
        </w:rPr>
        <w:t>подразделу</w:t>
      </w:r>
      <w:r w:rsidR="006D3AC9" w:rsidRPr="00A22C82">
        <w:rPr>
          <w:rFonts w:ascii="Times New Roman" w:hAnsi="Times New Roman"/>
          <w:sz w:val="24"/>
          <w:szCs w:val="24"/>
        </w:rPr>
        <w:t xml:space="preserve"> «Другие вопросы в области здравоохранения»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6D3AC9" w:rsidRPr="00A22C82">
        <w:rPr>
          <w:rFonts w:ascii="Times New Roman" w:hAnsi="Times New Roman"/>
          <w:sz w:val="24"/>
          <w:szCs w:val="24"/>
        </w:rPr>
        <w:t>освоены средства в сумме 1 097 418,05 рубля. Средства субвенции освоены не в полном объеме по причине отсутствия необходимости оплаты среднего заработка в период трудоустройства работников отдела здравоохранения, сокращенных 31.12.2013 года.</w:t>
      </w:r>
    </w:p>
    <w:p w:rsidR="00C54252" w:rsidRPr="00A22C82" w:rsidRDefault="00C54252" w:rsidP="00C54252">
      <w:pPr>
        <w:pStyle w:val="ac"/>
        <w:numPr>
          <w:ilvl w:val="0"/>
          <w:numId w:val="33"/>
        </w:numPr>
        <w:spacing w:before="0" w:beforeAutospacing="0" w:after="0" w:afterAutospacing="0"/>
        <w:ind w:hanging="11"/>
        <w:jc w:val="both"/>
      </w:pPr>
      <w:r>
        <w:t>По разделу «Социальная политика» н</w:t>
      </w:r>
      <w:r w:rsidRPr="00A22C82">
        <w:t>е исполнено 12 456 905,60 рубля.</w:t>
      </w:r>
    </w:p>
    <w:p w:rsidR="00C54252" w:rsidRPr="00A22C82" w:rsidRDefault="00C54252" w:rsidP="00C54252">
      <w:pPr>
        <w:pStyle w:val="ac"/>
        <w:spacing w:before="0" w:beforeAutospacing="0" w:after="0" w:afterAutospacing="0"/>
        <w:jc w:val="both"/>
      </w:pPr>
      <w:r w:rsidRPr="00A22C82">
        <w:t xml:space="preserve">Основные причины отклонений: </w:t>
      </w:r>
    </w:p>
    <w:p w:rsidR="00C54252" w:rsidRPr="009B76AB" w:rsidRDefault="0042116E" w:rsidP="00C54252">
      <w:pPr>
        <w:pStyle w:val="a5"/>
        <w:numPr>
          <w:ilvl w:val="0"/>
          <w:numId w:val="4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C54252" w:rsidRPr="00A22C82">
        <w:rPr>
          <w:rFonts w:ascii="Times New Roman" w:hAnsi="Times New Roman"/>
          <w:sz w:val="24"/>
          <w:szCs w:val="24"/>
        </w:rPr>
        <w:t xml:space="preserve">о </w:t>
      </w:r>
      <w:r w:rsidR="00C54252">
        <w:rPr>
          <w:rFonts w:ascii="Times New Roman" w:hAnsi="Times New Roman"/>
          <w:sz w:val="24"/>
          <w:szCs w:val="24"/>
        </w:rPr>
        <w:t>подразделу</w:t>
      </w:r>
      <w:r w:rsidR="00C54252" w:rsidRPr="00A22C82">
        <w:rPr>
          <w:rFonts w:ascii="Times New Roman" w:hAnsi="Times New Roman"/>
          <w:sz w:val="24"/>
          <w:szCs w:val="24"/>
        </w:rPr>
        <w:t xml:space="preserve"> «Социальное обеспечение населения» не освоено средств в сумме 9 228 861,30 рубля по следующей причине: по подпрограмме «Доступное</w:t>
      </w:r>
      <w:r w:rsidR="00C54252" w:rsidRPr="009B76AB">
        <w:rPr>
          <w:rFonts w:ascii="Times New Roman" w:hAnsi="Times New Roman"/>
          <w:sz w:val="24"/>
          <w:szCs w:val="24"/>
        </w:rPr>
        <w:t xml:space="preserve"> жилье молодым» и подпрограмме «Обеспечение жильем молодых семей» программы «Улучшение жилищных условий населения ХМАО-Югры» на 2005-2015 годы» денежные средства не были реализованы полностью, т</w:t>
      </w:r>
      <w:r w:rsidR="00C54252">
        <w:rPr>
          <w:rFonts w:ascii="Times New Roman" w:hAnsi="Times New Roman"/>
          <w:sz w:val="24"/>
          <w:szCs w:val="24"/>
        </w:rPr>
        <w:t>ак как</w:t>
      </w:r>
      <w:r w:rsidR="00C54252" w:rsidRPr="009B76AB">
        <w:rPr>
          <w:rFonts w:ascii="Times New Roman" w:hAnsi="Times New Roman"/>
          <w:sz w:val="24"/>
          <w:szCs w:val="24"/>
        </w:rPr>
        <w:t xml:space="preserve"> 29 молодым семьям только по состоянию на 01.01.2014 года были выданы свидетельства, дающие право на</w:t>
      </w:r>
      <w:proofErr w:type="gramEnd"/>
      <w:r w:rsidR="00C54252" w:rsidRPr="009B76AB">
        <w:rPr>
          <w:rFonts w:ascii="Times New Roman" w:hAnsi="Times New Roman"/>
          <w:sz w:val="24"/>
          <w:szCs w:val="24"/>
        </w:rPr>
        <w:t xml:space="preserve"> получение социальной выплаты на приобретение жилого помещения</w:t>
      </w:r>
      <w:r w:rsidR="00C54252">
        <w:rPr>
          <w:rFonts w:ascii="Times New Roman" w:hAnsi="Times New Roman"/>
          <w:sz w:val="24"/>
          <w:szCs w:val="24"/>
        </w:rPr>
        <w:t>,</w:t>
      </w:r>
      <w:r w:rsidR="00C54252" w:rsidRPr="009B76AB">
        <w:rPr>
          <w:rFonts w:ascii="Times New Roman" w:hAnsi="Times New Roman"/>
          <w:sz w:val="24"/>
          <w:szCs w:val="24"/>
        </w:rPr>
        <w:t xml:space="preserve"> 9 семей находятся в поиске жилого помещения. Выплаты по данным семьям планировалось осуществить в 2013 году</w:t>
      </w:r>
      <w:r>
        <w:rPr>
          <w:rFonts w:ascii="Times New Roman" w:hAnsi="Times New Roman"/>
          <w:sz w:val="24"/>
          <w:szCs w:val="24"/>
        </w:rPr>
        <w:t>;</w:t>
      </w:r>
    </w:p>
    <w:p w:rsidR="00C54252" w:rsidRPr="005E040F" w:rsidRDefault="0042116E" w:rsidP="00C54252">
      <w:pPr>
        <w:pStyle w:val="a5"/>
        <w:numPr>
          <w:ilvl w:val="0"/>
          <w:numId w:val="4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54252" w:rsidRPr="005E040F">
        <w:rPr>
          <w:rFonts w:ascii="Times New Roman" w:hAnsi="Times New Roman"/>
          <w:sz w:val="24"/>
          <w:szCs w:val="24"/>
        </w:rPr>
        <w:t>сновной остаток на конец отчетного года</w:t>
      </w:r>
      <w:r w:rsidR="00C54252">
        <w:rPr>
          <w:rFonts w:ascii="Times New Roman" w:hAnsi="Times New Roman"/>
          <w:sz w:val="24"/>
          <w:szCs w:val="24"/>
        </w:rPr>
        <w:t xml:space="preserve"> </w:t>
      </w:r>
      <w:r w:rsidR="00C54252" w:rsidRPr="005E040F">
        <w:rPr>
          <w:rFonts w:ascii="Times New Roman" w:hAnsi="Times New Roman"/>
          <w:sz w:val="24"/>
          <w:szCs w:val="24"/>
        </w:rPr>
        <w:t>образовался</w:t>
      </w:r>
      <w:r w:rsidR="00C54252">
        <w:rPr>
          <w:rFonts w:ascii="Times New Roman" w:hAnsi="Times New Roman"/>
          <w:sz w:val="24"/>
          <w:szCs w:val="24"/>
        </w:rPr>
        <w:t xml:space="preserve"> по субвенции, поступающей из бюджета автономного округа</w:t>
      </w:r>
      <w:r w:rsidR="00C54252" w:rsidRPr="005E040F">
        <w:rPr>
          <w:rFonts w:ascii="Times New Roman" w:hAnsi="Times New Roman"/>
          <w:sz w:val="24"/>
          <w:szCs w:val="24"/>
        </w:rPr>
        <w:t xml:space="preserve">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образования.</w:t>
      </w:r>
      <w:r w:rsidR="00C54252">
        <w:rPr>
          <w:rFonts w:ascii="Times New Roman" w:hAnsi="Times New Roman"/>
          <w:sz w:val="24"/>
          <w:szCs w:val="24"/>
        </w:rPr>
        <w:t xml:space="preserve"> </w:t>
      </w:r>
      <w:r w:rsidR="00C54252" w:rsidRPr="005E040F">
        <w:rPr>
          <w:rFonts w:ascii="Times New Roman" w:hAnsi="Times New Roman"/>
          <w:sz w:val="24"/>
          <w:szCs w:val="24"/>
        </w:rPr>
        <w:t>Финансирование расходов осуществляется на основании предоставленных документов с учетом фактической посещаемости воспитанник</w:t>
      </w:r>
      <w:r w:rsidR="00C54252">
        <w:rPr>
          <w:rFonts w:ascii="Times New Roman" w:hAnsi="Times New Roman"/>
          <w:sz w:val="24"/>
          <w:szCs w:val="24"/>
        </w:rPr>
        <w:t>ов</w:t>
      </w:r>
      <w:r w:rsidR="00C54252" w:rsidRPr="005E040F">
        <w:rPr>
          <w:rFonts w:ascii="Times New Roman" w:hAnsi="Times New Roman"/>
          <w:sz w:val="24"/>
          <w:szCs w:val="24"/>
        </w:rPr>
        <w:t xml:space="preserve"> дошкольных учреждений.</w:t>
      </w:r>
      <w:r w:rsidR="00C54252">
        <w:rPr>
          <w:rFonts w:ascii="Times New Roman" w:hAnsi="Times New Roman"/>
          <w:sz w:val="24"/>
          <w:szCs w:val="24"/>
        </w:rPr>
        <w:t xml:space="preserve"> П</w:t>
      </w:r>
      <w:r w:rsidR="00C54252" w:rsidRPr="00CB510D">
        <w:rPr>
          <w:rFonts w:ascii="Times New Roman" w:hAnsi="Times New Roman"/>
          <w:sz w:val="24"/>
          <w:szCs w:val="24"/>
        </w:rPr>
        <w:t xml:space="preserve">о </w:t>
      </w:r>
      <w:r w:rsidR="00C54252">
        <w:rPr>
          <w:rFonts w:ascii="Times New Roman" w:hAnsi="Times New Roman"/>
          <w:sz w:val="24"/>
          <w:szCs w:val="24"/>
        </w:rPr>
        <w:t>подразделу</w:t>
      </w:r>
      <w:r w:rsidR="00C54252" w:rsidRPr="00CB510D">
        <w:rPr>
          <w:rFonts w:ascii="Times New Roman" w:hAnsi="Times New Roman"/>
          <w:sz w:val="24"/>
          <w:szCs w:val="24"/>
        </w:rPr>
        <w:t xml:space="preserve"> «Охрана семьи и детства»</w:t>
      </w:r>
      <w:r w:rsidR="00C54252">
        <w:rPr>
          <w:rFonts w:ascii="Times New Roman" w:hAnsi="Times New Roman"/>
          <w:sz w:val="24"/>
          <w:szCs w:val="24"/>
        </w:rPr>
        <w:t xml:space="preserve"> не освоено сре</w:t>
      </w:r>
      <w:proofErr w:type="gramStart"/>
      <w:r w:rsidR="00C54252">
        <w:rPr>
          <w:rFonts w:ascii="Times New Roman" w:hAnsi="Times New Roman"/>
          <w:sz w:val="24"/>
          <w:szCs w:val="24"/>
        </w:rPr>
        <w:t>дств в с</w:t>
      </w:r>
      <w:proofErr w:type="gramEnd"/>
      <w:r w:rsidR="00C54252">
        <w:rPr>
          <w:rFonts w:ascii="Times New Roman" w:hAnsi="Times New Roman"/>
          <w:sz w:val="24"/>
          <w:szCs w:val="24"/>
        </w:rPr>
        <w:t>умме 3 228 044,30 рубля.</w:t>
      </w:r>
    </w:p>
    <w:p w:rsidR="009B1532" w:rsidRDefault="009B1532" w:rsidP="00C54252">
      <w:pPr>
        <w:pStyle w:val="a5"/>
        <w:shd w:val="clear" w:color="auto" w:fill="FFFFFF"/>
        <w:spacing w:after="0"/>
        <w:ind w:left="1069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D97B29" w:rsidRPr="00FD2166" w:rsidRDefault="009E509E" w:rsidP="009E509E">
      <w:pPr>
        <w:pStyle w:val="a3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16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 резервному фонду</w:t>
      </w:r>
      <w:r w:rsidR="00AE12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97B29" w:rsidRPr="00FD2166" w:rsidRDefault="00D97B29" w:rsidP="005704B2">
      <w:pPr>
        <w:pStyle w:val="a3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D2166" w:rsidRDefault="00FD2166" w:rsidP="00FD2166">
      <w:pPr>
        <w:pStyle w:val="ac"/>
        <w:spacing w:before="0" w:beforeAutospacing="0" w:after="0" w:afterAutospacing="0"/>
        <w:ind w:firstLine="851"/>
        <w:jc w:val="both"/>
      </w:pPr>
      <w:r w:rsidRPr="006720FC">
        <w:t xml:space="preserve">Резервный фонд </w:t>
      </w:r>
      <w:r>
        <w:t>на начало 201</w:t>
      </w:r>
      <w:r w:rsidR="00733BB0">
        <w:t>3</w:t>
      </w:r>
      <w:r>
        <w:t xml:space="preserve"> года</w:t>
      </w:r>
      <w:r w:rsidRPr="006720FC">
        <w:t xml:space="preserve"> был предусм</w:t>
      </w:r>
      <w:r>
        <w:t>отрен бюджетом</w:t>
      </w:r>
      <w:r w:rsidR="00AC4DE6">
        <w:t xml:space="preserve"> </w:t>
      </w:r>
      <w:r>
        <w:t>в размере 1 500 000</w:t>
      </w:r>
      <w:r w:rsidRPr="006720FC">
        <w:t xml:space="preserve"> руб</w:t>
      </w:r>
      <w:r>
        <w:t>лей</w:t>
      </w:r>
      <w:r w:rsidRPr="006720FC">
        <w:t xml:space="preserve">. </w:t>
      </w:r>
      <w:r>
        <w:t>Согласно последнему уточнению бюджета в 201</w:t>
      </w:r>
      <w:r w:rsidR="00733BB0">
        <w:t>3</w:t>
      </w:r>
      <w:r>
        <w:t xml:space="preserve"> году </w:t>
      </w:r>
      <w:r w:rsidRPr="009E2A0D">
        <w:rPr>
          <w:spacing w:val="-1"/>
        </w:rPr>
        <w:t xml:space="preserve">остались неиспользованными средства </w:t>
      </w:r>
      <w:r>
        <w:rPr>
          <w:spacing w:val="-1"/>
        </w:rPr>
        <w:t xml:space="preserve">резервного </w:t>
      </w:r>
      <w:r w:rsidRPr="009E2A0D">
        <w:rPr>
          <w:spacing w:val="-1"/>
        </w:rPr>
        <w:t xml:space="preserve">фонда в сумме </w:t>
      </w:r>
      <w:r w:rsidR="00733BB0">
        <w:rPr>
          <w:spacing w:val="-1"/>
        </w:rPr>
        <w:t>854 069,99</w:t>
      </w:r>
      <w:r w:rsidRPr="009E2A0D">
        <w:rPr>
          <w:spacing w:val="-1"/>
        </w:rPr>
        <w:t xml:space="preserve"> руб</w:t>
      </w:r>
      <w:r>
        <w:rPr>
          <w:spacing w:val="-1"/>
        </w:rPr>
        <w:t xml:space="preserve">ля </w:t>
      </w:r>
      <w:r w:rsidRPr="009E2A0D">
        <w:rPr>
          <w:spacing w:val="-1"/>
        </w:rPr>
        <w:t>ввиду отсутствия ситуаций, для которых предусмотрен</w:t>
      </w:r>
      <w:r>
        <w:rPr>
          <w:spacing w:val="-1"/>
        </w:rPr>
        <w:t xml:space="preserve"> резервный </w:t>
      </w:r>
      <w:r w:rsidRPr="009E2A0D">
        <w:rPr>
          <w:spacing w:val="-1"/>
        </w:rPr>
        <w:t>фонд</w:t>
      </w:r>
      <w:r>
        <w:rPr>
          <w:spacing w:val="-1"/>
        </w:rPr>
        <w:t>.</w:t>
      </w:r>
    </w:p>
    <w:p w:rsidR="00733BB0" w:rsidRPr="00843E01" w:rsidRDefault="00733BB0" w:rsidP="00733BB0">
      <w:pPr>
        <w:pStyle w:val="ac"/>
        <w:spacing w:before="0" w:beforeAutospacing="0" w:after="0" w:afterAutospacing="0"/>
        <w:ind w:firstLine="851"/>
        <w:jc w:val="both"/>
      </w:pPr>
      <w:r w:rsidRPr="00843E01">
        <w:t>Исходя из проведенного анализа использования средств резервного фонда установлено, что средства расходовались в соответствии с порядком расходования средств резервного фонда администрации города Покачи, утвержденным Постановлением главы города Покачи от 14.04.2008 года №262, а именно:</w:t>
      </w:r>
    </w:p>
    <w:p w:rsidR="00733BB0" w:rsidRPr="00843E01" w:rsidRDefault="00733BB0" w:rsidP="00733BB0">
      <w:pPr>
        <w:numPr>
          <w:ilvl w:val="3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E01">
        <w:rPr>
          <w:rFonts w:ascii="Times New Roman" w:hAnsi="Times New Roman"/>
          <w:sz w:val="24"/>
          <w:szCs w:val="24"/>
        </w:rPr>
        <w:t>159 000  рублей для проведения качественной заключительной дезинфекции в дошкольных образовательных учреждениях во исполнение предписания Управления Федеральной службы в сфере защиты прав потребителей и благополучия человека от 01.03.2013 №321.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4B6">
        <w:rPr>
          <w:rFonts w:ascii="Times New Roman" w:hAnsi="Times New Roman"/>
          <w:sz w:val="24"/>
        </w:rPr>
        <w:t xml:space="preserve">В связи с тем, что в дошкольных образовательных учреждениях города усилился рост заболеваемости детей острыми кишечными инфекциями, а в некоторых дошкольных учреждениях даже был приостановлен образовательный процесс, было принято решение </w:t>
      </w:r>
      <w:r>
        <w:rPr>
          <w:rFonts w:ascii="Times New Roman" w:hAnsi="Times New Roman"/>
          <w:sz w:val="24"/>
        </w:rPr>
        <w:t>о</w:t>
      </w:r>
      <w:r w:rsidRPr="000E64B6">
        <w:rPr>
          <w:rFonts w:ascii="Times New Roman" w:hAnsi="Times New Roman"/>
          <w:sz w:val="24"/>
        </w:rPr>
        <w:t xml:space="preserve"> проведени</w:t>
      </w:r>
      <w:r>
        <w:rPr>
          <w:rFonts w:ascii="Times New Roman" w:hAnsi="Times New Roman"/>
          <w:sz w:val="24"/>
        </w:rPr>
        <w:t>и</w:t>
      </w:r>
      <w:r w:rsidRPr="000E64B6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е</w:t>
      </w:r>
      <w:r w:rsidRPr="000E64B6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и</w:t>
      </w:r>
      <w:r w:rsidRPr="000E64B6">
        <w:rPr>
          <w:rFonts w:ascii="Times New Roman" w:hAnsi="Times New Roman"/>
          <w:sz w:val="24"/>
        </w:rPr>
        <w:t>нф</w:t>
      </w:r>
      <w:r>
        <w:rPr>
          <w:rFonts w:ascii="Times New Roman" w:hAnsi="Times New Roman"/>
          <w:sz w:val="24"/>
        </w:rPr>
        <w:t>е</w:t>
      </w:r>
      <w:r w:rsidRPr="000E64B6">
        <w:rPr>
          <w:rFonts w:ascii="Times New Roman" w:hAnsi="Times New Roman"/>
          <w:sz w:val="24"/>
        </w:rPr>
        <w:t>кционных мероприятий</w:t>
      </w:r>
      <w:r>
        <w:rPr>
          <w:rFonts w:ascii="Times New Roman" w:hAnsi="Times New Roman"/>
          <w:sz w:val="24"/>
        </w:rPr>
        <w:t>, а именно:</w:t>
      </w:r>
      <w:r w:rsidRPr="000E64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0E64B6">
        <w:rPr>
          <w:rFonts w:ascii="Times New Roman" w:hAnsi="Times New Roman"/>
          <w:sz w:val="24"/>
        </w:rPr>
        <w:t>выдел</w:t>
      </w:r>
      <w:r>
        <w:rPr>
          <w:rFonts w:ascii="Times New Roman" w:hAnsi="Times New Roman"/>
          <w:sz w:val="24"/>
        </w:rPr>
        <w:t>ении</w:t>
      </w:r>
      <w:r w:rsidRPr="000E64B6">
        <w:rPr>
          <w:rFonts w:ascii="Times New Roman" w:hAnsi="Times New Roman"/>
          <w:sz w:val="24"/>
        </w:rPr>
        <w:t xml:space="preserve"> средств из резервного фонда, так как на возникшую ситуацию невозможно было </w:t>
      </w:r>
      <w:r>
        <w:rPr>
          <w:rFonts w:ascii="Times New Roman" w:hAnsi="Times New Roman"/>
          <w:sz w:val="24"/>
        </w:rPr>
        <w:t xml:space="preserve">заранее </w:t>
      </w:r>
      <w:r w:rsidRPr="000E64B6">
        <w:rPr>
          <w:rFonts w:ascii="Times New Roman" w:hAnsi="Times New Roman"/>
          <w:sz w:val="24"/>
        </w:rPr>
        <w:t>запланировать расходы бюджета</w:t>
      </w:r>
      <w:r>
        <w:rPr>
          <w:rFonts w:ascii="Times New Roman" w:hAnsi="Times New Roman"/>
          <w:sz w:val="24"/>
        </w:rPr>
        <w:t>;</w:t>
      </w:r>
      <w:proofErr w:type="gramEnd"/>
    </w:p>
    <w:p w:rsidR="00733BB0" w:rsidRDefault="00733BB0" w:rsidP="00733BB0">
      <w:pPr>
        <w:pStyle w:val="ac"/>
        <w:numPr>
          <w:ilvl w:val="0"/>
          <w:numId w:val="41"/>
        </w:numPr>
        <w:spacing w:before="0" w:beforeAutospacing="0" w:after="0" w:afterAutospacing="0"/>
        <w:ind w:left="0" w:firstLine="851"/>
        <w:jc w:val="both"/>
      </w:pPr>
      <w:r>
        <w:t xml:space="preserve">30 768 рублей на оплату расходов </w:t>
      </w:r>
      <w:r w:rsidRPr="003956E4">
        <w:t xml:space="preserve">ИП </w:t>
      </w:r>
      <w:proofErr w:type="spellStart"/>
      <w:r w:rsidRPr="003956E4">
        <w:t>Клищенко</w:t>
      </w:r>
      <w:proofErr w:type="spellEnd"/>
      <w:r w:rsidRPr="003956E4">
        <w:t xml:space="preserve"> Ольге Александровне за горячее питание 116 человек, участвующих в ликвидации очага лесного пожара с 21.15</w:t>
      </w:r>
      <w:r>
        <w:t xml:space="preserve"> </w:t>
      </w:r>
      <w:r w:rsidRPr="003956E4">
        <w:t>час. 24.07.2013 по</w:t>
      </w:r>
      <w:r>
        <w:t xml:space="preserve"> </w:t>
      </w:r>
      <w:r w:rsidRPr="003956E4">
        <w:t xml:space="preserve">18.00 час. 25.07.2013; муниципальному бюджетному учреждению </w:t>
      </w:r>
      <w:r w:rsidRPr="003956E4">
        <w:lastRenderedPageBreak/>
        <w:t>здравоохранения "Центральная городская больница" за медицинские маски в количестве 500 штук</w:t>
      </w:r>
      <w:r>
        <w:t>,</w:t>
      </w:r>
      <w:r w:rsidRPr="003956E4">
        <w:t xml:space="preserve"> предоставленные участникам тушения пожара 24.07.2013</w:t>
      </w:r>
      <w:r>
        <w:t>,</w:t>
      </w:r>
      <w:r w:rsidRPr="003956E4">
        <w:t xml:space="preserve"> и за фактическое дежурство бригады скорой медицинской помощи в непо</w:t>
      </w:r>
      <w:r>
        <w:t>средственной близости от пожара;</w:t>
      </w:r>
    </w:p>
    <w:p w:rsidR="00733BB0" w:rsidRDefault="00733BB0" w:rsidP="00733BB0">
      <w:pPr>
        <w:pStyle w:val="ac"/>
        <w:numPr>
          <w:ilvl w:val="0"/>
          <w:numId w:val="41"/>
        </w:numPr>
        <w:spacing w:before="0" w:beforeAutospacing="0" w:after="0" w:afterAutospacing="0"/>
        <w:ind w:left="0" w:firstLine="851"/>
        <w:jc w:val="both"/>
      </w:pPr>
      <w:r>
        <w:t>перемещение сре</w:t>
      </w:r>
      <w:proofErr w:type="gramStart"/>
      <w:r>
        <w:t>дств с р</w:t>
      </w:r>
      <w:proofErr w:type="gramEnd"/>
      <w:r>
        <w:t xml:space="preserve">езервного фонда в сумме 456 162 рубля 01 копейка на заработную плату подразделениям администрации города Покачи по предложениям ГРБС в соответствии </w:t>
      </w:r>
      <w:r w:rsidR="00AC4DE6">
        <w:t xml:space="preserve">с </w:t>
      </w:r>
      <w:r>
        <w:t>решением об уточнении бюджета, принятым в декабре 2013 года.</w:t>
      </w:r>
    </w:p>
    <w:p w:rsidR="00137016" w:rsidRPr="0040608D" w:rsidRDefault="00137016" w:rsidP="00137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дебиторской задолженности. </w:t>
      </w:r>
    </w:p>
    <w:p w:rsidR="00AD5A60" w:rsidRPr="009570C7" w:rsidRDefault="008C7F34" w:rsidP="006603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0C7">
        <w:rPr>
          <w:rFonts w:ascii="Times New Roman" w:eastAsia="Times New Roman" w:hAnsi="Times New Roman" w:cs="Times New Roman"/>
          <w:sz w:val="24"/>
          <w:szCs w:val="24"/>
        </w:rPr>
        <w:t>На 01.01.201</w:t>
      </w:r>
      <w:r w:rsidR="005F7E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570C7">
        <w:rPr>
          <w:rFonts w:ascii="Times New Roman" w:eastAsia="Times New Roman" w:hAnsi="Times New Roman" w:cs="Times New Roman"/>
          <w:sz w:val="24"/>
          <w:szCs w:val="24"/>
        </w:rPr>
        <w:t xml:space="preserve"> года дебиторская задолженность </w:t>
      </w:r>
      <w:r w:rsidRPr="00D03D4C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5F7EFA" w:rsidRPr="00D03D4C">
        <w:rPr>
          <w:rFonts w:ascii="Times New Roman" w:eastAsia="Times New Roman" w:hAnsi="Times New Roman" w:cs="Times New Roman"/>
          <w:sz w:val="24"/>
          <w:szCs w:val="24"/>
        </w:rPr>
        <w:t>ила</w:t>
      </w:r>
      <w:r w:rsidRPr="00D0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C20" w:rsidRPr="00D03D4C">
        <w:rPr>
          <w:rFonts w:ascii="Times New Roman" w:hAnsi="Times New Roman"/>
          <w:sz w:val="24"/>
          <w:szCs w:val="24"/>
        </w:rPr>
        <w:t xml:space="preserve">97 239 579,39 </w:t>
      </w:r>
      <w:r w:rsidRPr="00D03D4C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D40C6A" w:rsidRPr="00D03D4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570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7EFA" w:rsidRPr="00B50280">
        <w:rPr>
          <w:rFonts w:ascii="Times New Roman" w:hAnsi="Times New Roman"/>
          <w:sz w:val="24"/>
          <w:szCs w:val="24"/>
        </w:rPr>
        <w:t xml:space="preserve">Основную долю </w:t>
      </w:r>
      <w:r w:rsidR="005F7EFA">
        <w:rPr>
          <w:rFonts w:ascii="Times New Roman" w:hAnsi="Times New Roman"/>
          <w:sz w:val="24"/>
          <w:szCs w:val="24"/>
        </w:rPr>
        <w:t xml:space="preserve">дебиторской </w:t>
      </w:r>
      <w:r w:rsidR="005F7EFA" w:rsidRPr="00B50280">
        <w:rPr>
          <w:rFonts w:ascii="Times New Roman" w:hAnsi="Times New Roman"/>
          <w:sz w:val="24"/>
          <w:szCs w:val="24"/>
        </w:rPr>
        <w:t>задолженности в общем объеме составляет задолженность п</w:t>
      </w:r>
      <w:r w:rsidR="005F7EFA">
        <w:rPr>
          <w:rFonts w:ascii="Times New Roman" w:hAnsi="Times New Roman"/>
          <w:sz w:val="24"/>
          <w:szCs w:val="24"/>
        </w:rPr>
        <w:t>о выданным авансам</w:t>
      </w:r>
      <w:r w:rsidR="005F7EFA" w:rsidRPr="0095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0C7" w:rsidRPr="009570C7">
        <w:rPr>
          <w:rFonts w:ascii="Times New Roman" w:eastAsia="Times New Roman" w:hAnsi="Times New Roman" w:cs="Times New Roman"/>
          <w:sz w:val="24"/>
          <w:szCs w:val="24"/>
        </w:rPr>
        <w:t xml:space="preserve">за поставку товара, </w:t>
      </w:r>
      <w:r w:rsidR="005F7EFA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работ, </w:t>
      </w:r>
      <w:r w:rsidR="00D03D4C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="005F7EFA">
        <w:rPr>
          <w:rFonts w:ascii="Times New Roman" w:eastAsia="Times New Roman" w:hAnsi="Times New Roman" w:cs="Times New Roman"/>
          <w:sz w:val="24"/>
          <w:szCs w:val="24"/>
        </w:rPr>
        <w:t xml:space="preserve"> услуг.</w:t>
      </w:r>
    </w:p>
    <w:p w:rsidR="00AC265A" w:rsidRDefault="00AC265A" w:rsidP="00AC265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2013 года была списана </w:t>
      </w:r>
      <w:r w:rsidRPr="000B058B">
        <w:rPr>
          <w:rFonts w:ascii="Times New Roman" w:hAnsi="Times New Roman"/>
          <w:sz w:val="24"/>
          <w:szCs w:val="24"/>
        </w:rPr>
        <w:t>просроченн</w:t>
      </w:r>
      <w:r>
        <w:rPr>
          <w:rFonts w:ascii="Times New Roman" w:hAnsi="Times New Roman"/>
          <w:sz w:val="24"/>
          <w:szCs w:val="24"/>
        </w:rPr>
        <w:t>ая</w:t>
      </w:r>
      <w:r w:rsidRPr="000B058B">
        <w:rPr>
          <w:rFonts w:ascii="Times New Roman" w:hAnsi="Times New Roman"/>
          <w:sz w:val="24"/>
          <w:szCs w:val="24"/>
        </w:rPr>
        <w:t xml:space="preserve"> (нереальн</w:t>
      </w:r>
      <w:r>
        <w:rPr>
          <w:rFonts w:ascii="Times New Roman" w:hAnsi="Times New Roman"/>
          <w:sz w:val="24"/>
          <w:szCs w:val="24"/>
        </w:rPr>
        <w:t>ая</w:t>
      </w:r>
      <w:r w:rsidRPr="000B058B">
        <w:rPr>
          <w:rFonts w:ascii="Times New Roman" w:hAnsi="Times New Roman"/>
          <w:sz w:val="24"/>
          <w:szCs w:val="24"/>
        </w:rPr>
        <w:t xml:space="preserve"> к взысканию) дебиторск</w:t>
      </w:r>
      <w:r w:rsidR="00AC4DE6">
        <w:rPr>
          <w:rFonts w:ascii="Times New Roman" w:hAnsi="Times New Roman"/>
          <w:sz w:val="24"/>
          <w:szCs w:val="24"/>
        </w:rPr>
        <w:t>ая</w:t>
      </w:r>
      <w:r w:rsidRPr="000B058B">
        <w:rPr>
          <w:rFonts w:ascii="Times New Roman" w:hAnsi="Times New Roman"/>
          <w:sz w:val="24"/>
          <w:szCs w:val="24"/>
        </w:rPr>
        <w:t xml:space="preserve"> задолженност</w:t>
      </w:r>
      <w:r w:rsidR="00AC4DE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на сумму 3 337 979,23 рубля на </w:t>
      </w:r>
      <w:proofErr w:type="spellStart"/>
      <w:r>
        <w:rPr>
          <w:rFonts w:ascii="Times New Roman" w:hAnsi="Times New Roman"/>
          <w:sz w:val="24"/>
          <w:szCs w:val="24"/>
        </w:rPr>
        <w:t>забалансовый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 </w:t>
      </w:r>
      <w:r w:rsidRPr="000B058B">
        <w:rPr>
          <w:rFonts w:ascii="Times New Roman" w:hAnsi="Times New Roman"/>
          <w:sz w:val="24"/>
          <w:szCs w:val="24"/>
        </w:rPr>
        <w:t>04 «Списанная задолженность неплатежеспособных дебиторов» для дальнейшего наблюдения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5A" w:rsidRPr="0040608D" w:rsidRDefault="00AC265A" w:rsidP="00AC265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CC0" w:rsidRDefault="008C08A6" w:rsidP="00AD5A6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C4CC0" w:rsidRPr="0040608D">
        <w:rPr>
          <w:rFonts w:ascii="Times New Roman" w:hAnsi="Times New Roman" w:cs="Times New Roman"/>
          <w:sz w:val="24"/>
          <w:szCs w:val="24"/>
        </w:rPr>
        <w:t xml:space="preserve"> бюджетной отчетности, предоставленной в КСП для проведения внешней проверки</w:t>
      </w:r>
      <w:r w:rsidR="00AD5A60" w:rsidRPr="0040608D">
        <w:rPr>
          <w:rFonts w:ascii="Times New Roman" w:hAnsi="Times New Roman" w:cs="Times New Roman"/>
          <w:sz w:val="24"/>
          <w:szCs w:val="24"/>
        </w:rPr>
        <w:t>,</w:t>
      </w:r>
      <w:r w:rsidR="001C4CC0" w:rsidRPr="0040608D">
        <w:rPr>
          <w:rFonts w:ascii="Times New Roman" w:hAnsi="Times New Roman" w:cs="Times New Roman"/>
          <w:sz w:val="24"/>
          <w:szCs w:val="24"/>
        </w:rPr>
        <w:t xml:space="preserve"> по состоянию на 01.01.201</w:t>
      </w:r>
      <w:r w:rsidR="005F7EFA">
        <w:rPr>
          <w:rFonts w:ascii="Times New Roman" w:hAnsi="Times New Roman" w:cs="Times New Roman"/>
          <w:sz w:val="24"/>
          <w:szCs w:val="24"/>
        </w:rPr>
        <w:t>4</w:t>
      </w:r>
      <w:r w:rsidR="001C4CC0" w:rsidRPr="0040608D">
        <w:rPr>
          <w:rFonts w:ascii="Times New Roman" w:hAnsi="Times New Roman" w:cs="Times New Roman"/>
          <w:sz w:val="24"/>
          <w:szCs w:val="24"/>
        </w:rPr>
        <w:t xml:space="preserve"> года просроченной нереальной к взысканию дебиторской задолженности нет</w:t>
      </w:r>
      <w:r w:rsidR="00AD5A60" w:rsidRPr="0040608D">
        <w:rPr>
          <w:rFonts w:ascii="Times New Roman" w:hAnsi="Times New Roman" w:cs="Times New Roman"/>
          <w:sz w:val="24"/>
          <w:szCs w:val="24"/>
        </w:rPr>
        <w:t>.</w:t>
      </w:r>
    </w:p>
    <w:p w:rsidR="00AC265A" w:rsidRDefault="00AC265A" w:rsidP="00AD5A6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A12" w:rsidRPr="0040608D" w:rsidRDefault="00064A12" w:rsidP="00064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кредиторской задолженности. </w:t>
      </w:r>
    </w:p>
    <w:p w:rsidR="00064A12" w:rsidRDefault="00064A12" w:rsidP="00064A1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3D4">
        <w:rPr>
          <w:rFonts w:ascii="Times New Roman" w:eastAsia="Times New Roman" w:hAnsi="Times New Roman" w:cs="Times New Roman"/>
          <w:sz w:val="24"/>
          <w:szCs w:val="24"/>
        </w:rPr>
        <w:t>На 01.01.201</w:t>
      </w:r>
      <w:r w:rsidR="005F7E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963D4">
        <w:rPr>
          <w:rFonts w:ascii="Times New Roman" w:eastAsia="Times New Roman" w:hAnsi="Times New Roman" w:cs="Times New Roman"/>
          <w:sz w:val="24"/>
          <w:szCs w:val="24"/>
        </w:rPr>
        <w:t xml:space="preserve"> года кредиторская  задолженность состав</w:t>
      </w:r>
      <w:r w:rsidR="005F7EFA">
        <w:rPr>
          <w:rFonts w:ascii="Times New Roman" w:eastAsia="Times New Roman" w:hAnsi="Times New Roman" w:cs="Times New Roman"/>
          <w:sz w:val="24"/>
          <w:szCs w:val="24"/>
        </w:rPr>
        <w:t>ила</w:t>
      </w:r>
      <w:r w:rsidRPr="00B96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EFA">
        <w:rPr>
          <w:rFonts w:ascii="Times New Roman" w:hAnsi="Times New Roman"/>
          <w:sz w:val="24"/>
          <w:szCs w:val="24"/>
        </w:rPr>
        <w:t>15 976 324,56 рубля</w:t>
      </w:r>
      <w:r w:rsidRPr="00B963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D4C">
        <w:rPr>
          <w:rFonts w:ascii="Times New Roman" w:hAnsi="Times New Roman"/>
          <w:sz w:val="24"/>
          <w:szCs w:val="24"/>
        </w:rPr>
        <w:t>О</w:t>
      </w:r>
      <w:r w:rsidR="00D03D4C" w:rsidRPr="00B50280">
        <w:rPr>
          <w:rFonts w:ascii="Times New Roman" w:hAnsi="Times New Roman"/>
          <w:sz w:val="24"/>
          <w:szCs w:val="24"/>
        </w:rPr>
        <w:t xml:space="preserve">сновную долю кредиторской задолженности в общем объеме составляет задолженность по расчетам с поставщиками  и подрядчиками </w:t>
      </w:r>
      <w:r w:rsidR="00D03D4C">
        <w:rPr>
          <w:rFonts w:ascii="Times New Roman" w:hAnsi="Times New Roman"/>
          <w:sz w:val="24"/>
          <w:szCs w:val="24"/>
        </w:rPr>
        <w:t xml:space="preserve">– 2 760 285,66 рубля </w:t>
      </w:r>
      <w:r w:rsidR="00D03D4C" w:rsidRPr="00B50280">
        <w:rPr>
          <w:rFonts w:ascii="Times New Roman" w:hAnsi="Times New Roman"/>
          <w:sz w:val="24"/>
          <w:szCs w:val="24"/>
        </w:rPr>
        <w:t xml:space="preserve">и </w:t>
      </w:r>
      <w:r w:rsidR="00D03D4C">
        <w:rPr>
          <w:rFonts w:ascii="Times New Roman" w:hAnsi="Times New Roman"/>
          <w:sz w:val="24"/>
          <w:szCs w:val="24"/>
        </w:rPr>
        <w:t>заработной плате 5 306 366,12 рубля.</w:t>
      </w:r>
    </w:p>
    <w:p w:rsidR="00D03D4C" w:rsidRPr="00B963D4" w:rsidRDefault="00D03D4C" w:rsidP="00064A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2013 года списана </w:t>
      </w:r>
      <w:r w:rsidRPr="00B50280">
        <w:rPr>
          <w:rFonts w:ascii="Times New Roman" w:hAnsi="Times New Roman"/>
          <w:sz w:val="24"/>
          <w:szCs w:val="24"/>
        </w:rPr>
        <w:t>просроченн</w:t>
      </w:r>
      <w:r>
        <w:rPr>
          <w:rFonts w:ascii="Times New Roman" w:hAnsi="Times New Roman"/>
          <w:sz w:val="24"/>
          <w:szCs w:val="24"/>
        </w:rPr>
        <w:t>ая</w:t>
      </w:r>
      <w:r w:rsidRPr="00B50280">
        <w:rPr>
          <w:rFonts w:ascii="Times New Roman" w:hAnsi="Times New Roman"/>
          <w:sz w:val="24"/>
          <w:szCs w:val="24"/>
        </w:rPr>
        <w:t>, не востребованн</w:t>
      </w:r>
      <w:r>
        <w:rPr>
          <w:rFonts w:ascii="Times New Roman" w:hAnsi="Times New Roman"/>
          <w:sz w:val="24"/>
          <w:szCs w:val="24"/>
        </w:rPr>
        <w:t>ая</w:t>
      </w:r>
      <w:r w:rsidRPr="00B50280">
        <w:rPr>
          <w:rFonts w:ascii="Times New Roman" w:hAnsi="Times New Roman"/>
          <w:sz w:val="24"/>
          <w:szCs w:val="24"/>
        </w:rPr>
        <w:t xml:space="preserve"> кредиторами кредиторск</w:t>
      </w:r>
      <w:r>
        <w:rPr>
          <w:rFonts w:ascii="Times New Roman" w:hAnsi="Times New Roman"/>
          <w:sz w:val="24"/>
          <w:szCs w:val="24"/>
        </w:rPr>
        <w:t>ая задолженность в сумме 750,15 рубля</w:t>
      </w:r>
      <w:r w:rsidRPr="00D03D4C">
        <w:rPr>
          <w:rFonts w:ascii="Times New Roman" w:hAnsi="Times New Roman"/>
          <w:sz w:val="24"/>
          <w:szCs w:val="24"/>
        </w:rPr>
        <w:t xml:space="preserve"> </w:t>
      </w:r>
      <w:r w:rsidRPr="00B5028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50280">
        <w:rPr>
          <w:rFonts w:ascii="Times New Roman" w:hAnsi="Times New Roman"/>
          <w:sz w:val="24"/>
          <w:szCs w:val="24"/>
        </w:rPr>
        <w:t>забалансов</w:t>
      </w:r>
      <w:r>
        <w:rPr>
          <w:rFonts w:ascii="Times New Roman" w:hAnsi="Times New Roman"/>
          <w:sz w:val="24"/>
          <w:szCs w:val="24"/>
        </w:rPr>
        <w:t>ый</w:t>
      </w:r>
      <w:proofErr w:type="spellEnd"/>
      <w:r w:rsidRPr="00B50280">
        <w:rPr>
          <w:rFonts w:ascii="Times New Roman" w:hAnsi="Times New Roman"/>
          <w:sz w:val="24"/>
          <w:szCs w:val="24"/>
        </w:rPr>
        <w:t xml:space="preserve"> счет 20 «Списанная задолженность, невостребованная кредиторами» для дальнейшего наблюдения.</w:t>
      </w:r>
    </w:p>
    <w:p w:rsidR="00064A12" w:rsidRDefault="00FC7E3E" w:rsidP="00064A1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64A12" w:rsidRPr="00B963D4">
        <w:rPr>
          <w:rFonts w:ascii="Times New Roman" w:hAnsi="Times New Roman" w:cs="Times New Roman"/>
          <w:sz w:val="24"/>
          <w:szCs w:val="24"/>
        </w:rPr>
        <w:t xml:space="preserve"> бюджетной отчетности, предоставленной в КСП для проведения внешней проверки, по состоянию на 01.01.201</w:t>
      </w:r>
      <w:r w:rsidR="00D03D4C">
        <w:rPr>
          <w:rFonts w:ascii="Times New Roman" w:hAnsi="Times New Roman" w:cs="Times New Roman"/>
          <w:sz w:val="24"/>
          <w:szCs w:val="24"/>
        </w:rPr>
        <w:t>4</w:t>
      </w:r>
      <w:r w:rsidR="00064A12" w:rsidRPr="00B963D4">
        <w:rPr>
          <w:rFonts w:ascii="Times New Roman" w:hAnsi="Times New Roman" w:cs="Times New Roman"/>
          <w:sz w:val="24"/>
          <w:szCs w:val="24"/>
        </w:rPr>
        <w:t xml:space="preserve"> года просроченной задолженности нет.</w:t>
      </w:r>
    </w:p>
    <w:p w:rsidR="0012590E" w:rsidRDefault="0012590E" w:rsidP="00064A1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C3B" w:rsidRDefault="004871DB" w:rsidP="00B53C3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3D4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 бюджета, долговые обязательства</w:t>
      </w:r>
    </w:p>
    <w:p w:rsidR="009D3A70" w:rsidRPr="00B963D4" w:rsidRDefault="009D3A70" w:rsidP="00B53C3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3C3B" w:rsidRPr="002347CE" w:rsidRDefault="00B53C3B" w:rsidP="00B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CE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2D380E" w:rsidRPr="002347C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347CE">
        <w:rPr>
          <w:rFonts w:ascii="Times New Roman" w:eastAsia="Times New Roman" w:hAnsi="Times New Roman" w:cs="Times New Roman"/>
          <w:sz w:val="24"/>
          <w:szCs w:val="24"/>
        </w:rPr>
        <w:t xml:space="preserve">  Бюджет городского округа города Покачи за отчетный период исполнен в следующем объеме:</w:t>
      </w:r>
    </w:p>
    <w:p w:rsidR="00B93191" w:rsidRPr="00010748" w:rsidRDefault="00B93191" w:rsidP="00B931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748">
        <w:rPr>
          <w:rFonts w:ascii="Times New Roman" w:hAnsi="Times New Roman"/>
          <w:sz w:val="24"/>
          <w:szCs w:val="24"/>
        </w:rPr>
        <w:t>- по доходам — 1 </w:t>
      </w:r>
      <w:r>
        <w:rPr>
          <w:rFonts w:ascii="Times New Roman" w:hAnsi="Times New Roman"/>
          <w:sz w:val="24"/>
          <w:szCs w:val="24"/>
        </w:rPr>
        <w:t>495</w:t>
      </w:r>
      <w:r w:rsidRPr="00010748">
        <w:rPr>
          <w:rFonts w:ascii="Times New Roman" w:hAnsi="Times New Roman"/>
          <w:sz w:val="24"/>
          <w:szCs w:val="24"/>
        </w:rPr>
        <w:t> 4</w:t>
      </w:r>
      <w:r>
        <w:rPr>
          <w:rFonts w:ascii="Times New Roman" w:hAnsi="Times New Roman"/>
          <w:sz w:val="24"/>
          <w:szCs w:val="24"/>
        </w:rPr>
        <w:t>55</w:t>
      </w:r>
      <w:r w:rsidRPr="000107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609</w:t>
      </w:r>
      <w:r w:rsidRPr="00010748">
        <w:rPr>
          <w:rFonts w:ascii="Times New Roman" w:hAnsi="Times New Roman"/>
          <w:sz w:val="24"/>
          <w:szCs w:val="24"/>
        </w:rPr>
        <w:t xml:space="preserve"> рублей 3</w:t>
      </w:r>
      <w:r>
        <w:rPr>
          <w:rFonts w:ascii="Times New Roman" w:hAnsi="Times New Roman"/>
          <w:sz w:val="24"/>
          <w:szCs w:val="24"/>
        </w:rPr>
        <w:t>7</w:t>
      </w:r>
      <w:r w:rsidRPr="0001074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010748">
        <w:rPr>
          <w:rFonts w:ascii="Times New Roman" w:hAnsi="Times New Roman"/>
          <w:sz w:val="24"/>
          <w:szCs w:val="24"/>
        </w:rPr>
        <w:t>;</w:t>
      </w:r>
    </w:p>
    <w:p w:rsidR="00B93191" w:rsidRPr="00010748" w:rsidRDefault="00B93191" w:rsidP="00B931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748">
        <w:rPr>
          <w:rFonts w:ascii="Times New Roman" w:hAnsi="Times New Roman"/>
          <w:sz w:val="24"/>
          <w:szCs w:val="24"/>
        </w:rPr>
        <w:t xml:space="preserve">- по расходам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10748">
        <w:rPr>
          <w:rFonts w:ascii="Times New Roman" w:hAnsi="Times New Roman"/>
          <w:sz w:val="24"/>
          <w:szCs w:val="24"/>
        </w:rPr>
        <w:t>1 5</w:t>
      </w:r>
      <w:r>
        <w:rPr>
          <w:rFonts w:ascii="Times New Roman" w:hAnsi="Times New Roman"/>
          <w:sz w:val="24"/>
          <w:szCs w:val="24"/>
        </w:rPr>
        <w:t>88</w:t>
      </w:r>
      <w:r w:rsidRPr="000107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198</w:t>
      </w:r>
      <w:r w:rsidRPr="000107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171</w:t>
      </w:r>
      <w:r w:rsidRPr="00010748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ь</w:t>
      </w:r>
      <w:r w:rsidRPr="00010748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1</w:t>
      </w:r>
      <w:r w:rsidRPr="00010748">
        <w:rPr>
          <w:rFonts w:ascii="Times New Roman" w:hAnsi="Times New Roman"/>
          <w:sz w:val="24"/>
          <w:szCs w:val="24"/>
        </w:rPr>
        <w:t xml:space="preserve"> копейк</w:t>
      </w:r>
      <w:r>
        <w:rPr>
          <w:rFonts w:ascii="Times New Roman" w:hAnsi="Times New Roman"/>
          <w:sz w:val="24"/>
          <w:szCs w:val="24"/>
        </w:rPr>
        <w:t>а</w:t>
      </w:r>
      <w:r w:rsidRPr="00010748">
        <w:rPr>
          <w:rFonts w:ascii="Times New Roman" w:hAnsi="Times New Roman"/>
          <w:sz w:val="24"/>
          <w:szCs w:val="24"/>
        </w:rPr>
        <w:t>.</w:t>
      </w:r>
    </w:p>
    <w:p w:rsidR="00B93191" w:rsidRDefault="00B93191" w:rsidP="00B931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748">
        <w:rPr>
          <w:rFonts w:ascii="Times New Roman" w:hAnsi="Times New Roman"/>
          <w:sz w:val="24"/>
          <w:szCs w:val="24"/>
        </w:rPr>
        <w:t xml:space="preserve">По итогам исполнения </w:t>
      </w:r>
      <w:r w:rsidRPr="00B93191">
        <w:rPr>
          <w:rFonts w:ascii="Times New Roman" w:hAnsi="Times New Roman"/>
          <w:sz w:val="24"/>
          <w:szCs w:val="24"/>
        </w:rPr>
        <w:t>бюджета сложился дефицит бюджета в сумме 92 742 561 рубль 94 копейки.</w:t>
      </w:r>
    </w:p>
    <w:p w:rsidR="007D08AB" w:rsidRPr="00B93191" w:rsidRDefault="007D08AB" w:rsidP="00B931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4A9C" w:rsidRPr="002347CE" w:rsidRDefault="002D380E" w:rsidP="007D08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347CE">
        <w:t>2.</w:t>
      </w:r>
      <w:r w:rsidR="00114A9C" w:rsidRPr="002347CE">
        <w:rPr>
          <w:rFonts w:ascii="Times New Roman" w:eastAsia="Times New Roman" w:hAnsi="Times New Roman" w:cs="Times New Roman"/>
          <w:sz w:val="24"/>
          <w:szCs w:val="24"/>
        </w:rPr>
        <w:t xml:space="preserve">   Муниципальный долг города Покачи</w:t>
      </w:r>
      <w:r w:rsidR="00E96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0E8" w:rsidRPr="00D54EC2" w:rsidRDefault="001440E8" w:rsidP="001440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Первоначально в</w:t>
      </w:r>
      <w:r w:rsidRPr="00DE3717">
        <w:rPr>
          <w:rFonts w:ascii="Times New Roman" w:hAnsi="Times New Roman"/>
          <w:sz w:val="24"/>
          <w:szCs w:val="24"/>
        </w:rPr>
        <w:t>ерхний предел муниципального внутреннего долга на 2013 год планировался в размере 307 646 600 рублей.</w:t>
      </w:r>
      <w:r>
        <w:rPr>
          <w:rFonts w:ascii="Times New Roman" w:hAnsi="Times New Roman"/>
          <w:sz w:val="24"/>
          <w:szCs w:val="24"/>
        </w:rPr>
        <w:t xml:space="preserve"> В соответствии с внесен</w:t>
      </w:r>
      <w:r w:rsidR="00AC4DE6">
        <w:rPr>
          <w:rFonts w:ascii="Times New Roman" w:hAnsi="Times New Roman"/>
          <w:sz w:val="24"/>
          <w:szCs w:val="24"/>
        </w:rPr>
        <w:t>ными</w:t>
      </w:r>
      <w:r>
        <w:rPr>
          <w:rFonts w:ascii="Times New Roman" w:hAnsi="Times New Roman"/>
          <w:sz w:val="24"/>
          <w:szCs w:val="24"/>
        </w:rPr>
        <w:t xml:space="preserve"> изменени</w:t>
      </w:r>
      <w:r w:rsidR="00AC4DE6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решением Думы города Покачи от 30.12.2013 №150 размер муниципального внутреннего долга составил 172 </w:t>
      </w:r>
      <w:r w:rsidRPr="00D54EC2">
        <w:rPr>
          <w:rFonts w:ascii="Times New Roman" w:hAnsi="Times New Roman"/>
          <w:sz w:val="24"/>
          <w:szCs w:val="24"/>
        </w:rPr>
        <w:t>985 800 рублей.</w:t>
      </w:r>
    </w:p>
    <w:p w:rsidR="001440E8" w:rsidRDefault="001440E8" w:rsidP="001440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4EC2">
        <w:rPr>
          <w:rFonts w:ascii="Times New Roman" w:hAnsi="Times New Roman"/>
          <w:sz w:val="24"/>
          <w:szCs w:val="24"/>
        </w:rPr>
        <w:lastRenderedPageBreak/>
        <w:t>По состоянию на 01.01.2013 года объем муниципального долга составлял 115 342 881 рубль 80 копеек, в том числе 115 146 600 рублей – основной долг и 196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EC2">
        <w:rPr>
          <w:rFonts w:ascii="Times New Roman" w:hAnsi="Times New Roman"/>
          <w:sz w:val="24"/>
          <w:szCs w:val="24"/>
        </w:rPr>
        <w:t>281 рубль 80 копеек – проценты за пользование кредитом.</w:t>
      </w:r>
    </w:p>
    <w:p w:rsidR="001440E8" w:rsidRDefault="001440E8" w:rsidP="001440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4EC2">
        <w:rPr>
          <w:rFonts w:ascii="Times New Roman" w:hAnsi="Times New Roman"/>
          <w:sz w:val="24"/>
          <w:szCs w:val="24"/>
        </w:rPr>
        <w:t xml:space="preserve">В течение года получено кредитов на сумму 479 285 800 рублей, погашено 424 446 600 рублей. </w:t>
      </w:r>
    </w:p>
    <w:p w:rsidR="009D3A70" w:rsidRPr="00D54EC2" w:rsidRDefault="001440E8" w:rsidP="001440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54EC2">
        <w:rPr>
          <w:rFonts w:ascii="Times New Roman" w:hAnsi="Times New Roman"/>
          <w:sz w:val="24"/>
          <w:szCs w:val="24"/>
        </w:rPr>
        <w:t xml:space="preserve">о состоянию на 01.01.2014 </w:t>
      </w:r>
      <w:r w:rsidR="009D3A70" w:rsidRPr="00D54EC2">
        <w:rPr>
          <w:rFonts w:ascii="Times New Roman" w:hAnsi="Times New Roman"/>
          <w:sz w:val="24"/>
          <w:szCs w:val="24"/>
        </w:rPr>
        <w:t xml:space="preserve">объем муниципального долга составил 170 437 611 рублей 48 копеек, в том числе: </w:t>
      </w:r>
    </w:p>
    <w:p w:rsidR="009D3A70" w:rsidRPr="00D54EC2" w:rsidRDefault="009D3A70" w:rsidP="009D3A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4EC2">
        <w:rPr>
          <w:rFonts w:ascii="Times New Roman" w:hAnsi="Times New Roman"/>
          <w:sz w:val="24"/>
          <w:szCs w:val="24"/>
        </w:rPr>
        <w:t xml:space="preserve">- основной долг – 169 985 800 рублей; </w:t>
      </w:r>
    </w:p>
    <w:p w:rsidR="009D3A70" w:rsidRDefault="009D3A70" w:rsidP="009D3A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4EC2">
        <w:rPr>
          <w:rFonts w:ascii="Times New Roman" w:hAnsi="Times New Roman"/>
          <w:sz w:val="24"/>
          <w:szCs w:val="24"/>
        </w:rPr>
        <w:t xml:space="preserve">- проценты за пользование кредитом - 451 811 рублей 48 копеек. </w:t>
      </w:r>
    </w:p>
    <w:p w:rsidR="009D3A70" w:rsidRDefault="009D3A70" w:rsidP="009D3A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4EC2">
        <w:rPr>
          <w:rFonts w:ascii="Times New Roman" w:hAnsi="Times New Roman"/>
          <w:sz w:val="24"/>
          <w:szCs w:val="24"/>
        </w:rPr>
        <w:t>Объем муниципального долга не превышает предельно допустимый уровень, установленный статьей 107 Бюджетного кодекса Российской Федерации.</w:t>
      </w:r>
    </w:p>
    <w:p w:rsidR="00247100" w:rsidRDefault="00247100" w:rsidP="009D3A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40E8" w:rsidRDefault="00247100" w:rsidP="002471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710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2534E3">
        <w:rPr>
          <w:rFonts w:ascii="Times New Roman" w:hAnsi="Times New Roman"/>
          <w:sz w:val="24"/>
          <w:szCs w:val="24"/>
        </w:rPr>
        <w:t>О</w:t>
      </w:r>
      <w:r w:rsidR="001440E8">
        <w:rPr>
          <w:rFonts w:ascii="Times New Roman" w:hAnsi="Times New Roman"/>
          <w:sz w:val="24"/>
          <w:szCs w:val="24"/>
        </w:rPr>
        <w:t>бслуживание муниципального долга.</w:t>
      </w:r>
    </w:p>
    <w:p w:rsidR="00247100" w:rsidRDefault="00247100" w:rsidP="002471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44C5">
        <w:rPr>
          <w:rFonts w:ascii="Times New Roman" w:hAnsi="Times New Roman"/>
          <w:sz w:val="24"/>
          <w:szCs w:val="24"/>
        </w:rPr>
        <w:t xml:space="preserve">При плановых назначениях </w:t>
      </w:r>
      <w:r>
        <w:rPr>
          <w:rFonts w:ascii="Times New Roman" w:hAnsi="Times New Roman"/>
          <w:sz w:val="24"/>
          <w:szCs w:val="24"/>
        </w:rPr>
        <w:t>4 809 540 рублей 66 копеек</w:t>
      </w:r>
      <w:r w:rsidRPr="003344C5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Pr="003344C5">
        <w:rPr>
          <w:rFonts w:ascii="Times New Roman" w:hAnsi="Times New Roman"/>
          <w:sz w:val="24"/>
          <w:szCs w:val="24"/>
        </w:rPr>
        <w:t>актические расходы на обслуживание муниципального долга в 201</w:t>
      </w:r>
      <w:r>
        <w:rPr>
          <w:rFonts w:ascii="Times New Roman" w:hAnsi="Times New Roman"/>
          <w:sz w:val="24"/>
          <w:szCs w:val="24"/>
        </w:rPr>
        <w:t>3</w:t>
      </w:r>
      <w:r w:rsidRPr="003344C5">
        <w:rPr>
          <w:rFonts w:ascii="Times New Roman" w:hAnsi="Times New Roman"/>
          <w:sz w:val="24"/>
          <w:szCs w:val="24"/>
        </w:rPr>
        <w:t xml:space="preserve"> году составили </w:t>
      </w:r>
      <w:r>
        <w:rPr>
          <w:rFonts w:ascii="Times New Roman" w:hAnsi="Times New Roman"/>
          <w:sz w:val="24"/>
          <w:szCs w:val="24"/>
        </w:rPr>
        <w:t>4 809 540 рублей 66 копеек</w:t>
      </w:r>
      <w:r w:rsidRPr="003344C5">
        <w:rPr>
          <w:rFonts w:ascii="Times New Roman" w:hAnsi="Times New Roman"/>
          <w:sz w:val="24"/>
          <w:szCs w:val="24"/>
        </w:rPr>
        <w:t xml:space="preserve"> ил</w:t>
      </w:r>
      <w:r w:rsidRPr="003344C5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3344C5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 от плана</w:t>
      </w:r>
      <w:r w:rsidRPr="003344C5">
        <w:rPr>
          <w:rFonts w:ascii="Times New Roman" w:hAnsi="Times New Roman"/>
          <w:color w:val="000000"/>
          <w:sz w:val="24"/>
          <w:szCs w:val="24"/>
        </w:rPr>
        <w:t>.</w:t>
      </w:r>
    </w:p>
    <w:p w:rsidR="00247100" w:rsidRPr="00AD287B" w:rsidRDefault="00247100" w:rsidP="002471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4C5">
        <w:rPr>
          <w:rFonts w:ascii="Times New Roman" w:hAnsi="Times New Roman"/>
          <w:sz w:val="24"/>
          <w:szCs w:val="24"/>
        </w:rPr>
        <w:t xml:space="preserve">Объем расходов </w:t>
      </w:r>
      <w:r w:rsidRPr="00AD287B">
        <w:rPr>
          <w:rFonts w:ascii="Times New Roman" w:hAnsi="Times New Roman"/>
          <w:sz w:val="24"/>
          <w:szCs w:val="24"/>
        </w:rPr>
        <w:t>на обслуживание муниципального долга в 2013 году не превышает предельно допустимый размер, установленный стать</w:t>
      </w:r>
      <w:r>
        <w:rPr>
          <w:rFonts w:ascii="Times New Roman" w:hAnsi="Times New Roman"/>
          <w:sz w:val="24"/>
          <w:szCs w:val="24"/>
        </w:rPr>
        <w:t>ей</w:t>
      </w:r>
      <w:r w:rsidRPr="00AD287B">
        <w:rPr>
          <w:rFonts w:ascii="Times New Roman" w:hAnsi="Times New Roman"/>
          <w:sz w:val="24"/>
          <w:szCs w:val="24"/>
        </w:rPr>
        <w:t xml:space="preserve"> 111 Бюджетного кодекса Российской Федерации.</w:t>
      </w:r>
    </w:p>
    <w:p w:rsidR="00247100" w:rsidRPr="00247100" w:rsidRDefault="00247100" w:rsidP="0024710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D3A70" w:rsidRPr="00D54EC2" w:rsidRDefault="009D3A70" w:rsidP="009D3A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47CE" w:rsidRPr="0035422E" w:rsidRDefault="002347CE" w:rsidP="002347CE">
      <w:pPr>
        <w:spacing w:after="0" w:line="240" w:lineRule="auto"/>
        <w:ind w:left="360" w:firstLine="36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7A0542" w:rsidRPr="009579E2" w:rsidRDefault="004871DB" w:rsidP="004871DB">
      <w:pPr>
        <w:spacing w:after="0" w:line="240" w:lineRule="auto"/>
        <w:ind w:left="360" w:firstLine="36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579E2">
        <w:rPr>
          <w:rFonts w:ascii="Times New Roman" w:eastAsia="Arial" w:hAnsi="Times New Roman" w:cs="Times New Roman"/>
          <w:b/>
          <w:sz w:val="24"/>
          <w:szCs w:val="24"/>
        </w:rPr>
        <w:t>Основные недостатки и нарушения, выявленные в ходе контрольных мероприятий в 201</w:t>
      </w:r>
      <w:r w:rsidR="00795BEE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9579E2">
        <w:rPr>
          <w:rFonts w:ascii="Times New Roman" w:eastAsia="Arial" w:hAnsi="Times New Roman" w:cs="Times New Roman"/>
          <w:b/>
          <w:sz w:val="24"/>
          <w:szCs w:val="24"/>
        </w:rPr>
        <w:t xml:space="preserve"> году</w:t>
      </w:r>
    </w:p>
    <w:p w:rsidR="004871DB" w:rsidRPr="009579E2" w:rsidRDefault="004871DB" w:rsidP="007A0542">
      <w:pPr>
        <w:spacing w:after="0" w:line="240" w:lineRule="auto"/>
        <w:ind w:left="360" w:firstLine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95BEE" w:rsidRDefault="00795BEE" w:rsidP="00795BEE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" w:hAnsi="Times New Roman" w:cs="Arial"/>
          <w:sz w:val="24"/>
          <w:szCs w:val="24"/>
        </w:rPr>
      </w:pPr>
      <w:r w:rsidRPr="00374189">
        <w:rPr>
          <w:rFonts w:ascii="Times New Roman" w:eastAsia="Arial" w:hAnsi="Times New Roman" w:cs="Arial"/>
          <w:sz w:val="24"/>
          <w:szCs w:val="24"/>
        </w:rPr>
        <w:t xml:space="preserve">В ходе проверок (ревизий), проводимых контрольно-счетной палатой в 2013 году в </w:t>
      </w:r>
      <w:r w:rsidRPr="006D65EC">
        <w:rPr>
          <w:rFonts w:ascii="Times New Roman" w:eastAsia="Arial" w:hAnsi="Times New Roman" w:cs="Arial"/>
          <w:sz w:val="24"/>
          <w:szCs w:val="24"/>
        </w:rPr>
        <w:t>муниципальных учреждениях города, выявлены нарушения правил ведения бухгалтерского учета, а именно:</w:t>
      </w:r>
    </w:p>
    <w:p w:rsidR="00795BEE" w:rsidRPr="006D65EC" w:rsidRDefault="00795BEE" w:rsidP="00795BEE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" w:hAnsi="Times New Roman" w:cs="Arial"/>
          <w:sz w:val="24"/>
          <w:szCs w:val="24"/>
        </w:rPr>
      </w:pPr>
    </w:p>
    <w:p w:rsidR="00795BEE" w:rsidRPr="006D65EC" w:rsidRDefault="00795BEE" w:rsidP="00795BEE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 w:rsidRPr="006D65EC">
        <w:rPr>
          <w:rFonts w:ascii="Times New Roman" w:eastAsia="Arial" w:hAnsi="Times New Roman"/>
          <w:sz w:val="24"/>
          <w:szCs w:val="24"/>
        </w:rPr>
        <w:t xml:space="preserve">Нарушение </w:t>
      </w:r>
      <w:r w:rsidRPr="006D65EC">
        <w:rPr>
          <w:rFonts w:ascii="Times New Roman" w:hAnsi="Times New Roman"/>
          <w:sz w:val="24"/>
          <w:szCs w:val="24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Министерства финансов Российской Федерации от 01.12.2010 №157н  в части:</w:t>
      </w:r>
    </w:p>
    <w:p w:rsidR="00795BEE" w:rsidRPr="006D65EC" w:rsidRDefault="00795BEE" w:rsidP="0079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5E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5EC">
        <w:rPr>
          <w:rFonts w:ascii="Times New Roman" w:hAnsi="Times New Roman"/>
          <w:sz w:val="24"/>
          <w:szCs w:val="24"/>
        </w:rPr>
        <w:t>расчетов с подотчетными лицами по выдаваемым им авансам (неправомерные, незаконные выплаты);</w:t>
      </w:r>
    </w:p>
    <w:p w:rsidR="00795BEE" w:rsidRPr="00374189" w:rsidRDefault="00795BEE" w:rsidP="0079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189">
        <w:rPr>
          <w:rFonts w:ascii="Times New Roman" w:hAnsi="Times New Roman"/>
          <w:bCs/>
          <w:sz w:val="24"/>
        </w:rPr>
        <w:t>-</w:t>
      </w:r>
      <w:r>
        <w:rPr>
          <w:rFonts w:ascii="Times New Roman" w:hAnsi="Times New Roman"/>
          <w:bCs/>
          <w:sz w:val="24"/>
        </w:rPr>
        <w:t xml:space="preserve"> </w:t>
      </w:r>
      <w:r w:rsidRPr="00374189">
        <w:rPr>
          <w:rFonts w:ascii="Times New Roman" w:hAnsi="Times New Roman"/>
          <w:bCs/>
          <w:sz w:val="24"/>
        </w:rPr>
        <w:t>нарушения сроков сдачи авансовых отчетов;</w:t>
      </w:r>
    </w:p>
    <w:p w:rsidR="00795BEE" w:rsidRPr="006D65EC" w:rsidRDefault="00795BEE" w:rsidP="00795BEE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</w:rPr>
      </w:pPr>
      <w:r w:rsidRPr="006D65EC">
        <w:rPr>
          <w:rFonts w:ascii="Times New Roman" w:eastAsia="Arial" w:hAnsi="Times New Roman" w:cs="Arial"/>
          <w:sz w:val="24"/>
          <w:szCs w:val="24"/>
        </w:rPr>
        <w:t>-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6D65EC">
        <w:rPr>
          <w:rFonts w:ascii="Times New Roman" w:eastAsia="Arial" w:hAnsi="Times New Roman" w:cs="Arial"/>
          <w:sz w:val="24"/>
          <w:szCs w:val="24"/>
        </w:rPr>
        <w:t>начислений заработной платы (переплаты, недоплаты);</w:t>
      </w:r>
    </w:p>
    <w:p w:rsidR="00795BEE" w:rsidRPr="006D65EC" w:rsidRDefault="00795BEE" w:rsidP="00795BE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D65E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5EC">
        <w:rPr>
          <w:rFonts w:ascii="Times New Roman" w:hAnsi="Times New Roman"/>
          <w:sz w:val="24"/>
          <w:szCs w:val="24"/>
        </w:rPr>
        <w:t>неправомерного списания материальных запасов;</w:t>
      </w:r>
    </w:p>
    <w:p w:rsidR="00795BEE" w:rsidRDefault="00795BEE" w:rsidP="00795BE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2F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F96">
        <w:rPr>
          <w:rFonts w:ascii="Times New Roman" w:hAnsi="Times New Roman"/>
          <w:sz w:val="24"/>
          <w:szCs w:val="24"/>
        </w:rPr>
        <w:t>несвоевременного принятия к учету первичных учетных документов.</w:t>
      </w:r>
    </w:p>
    <w:p w:rsidR="00795BEE" w:rsidRPr="005B2F96" w:rsidRDefault="00795BEE" w:rsidP="00795BE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5BEE" w:rsidRPr="005B2F96" w:rsidRDefault="00795BEE" w:rsidP="00795BEE">
      <w:pPr>
        <w:pStyle w:val="a5"/>
        <w:spacing w:after="0" w:line="240" w:lineRule="auto"/>
        <w:ind w:left="0" w:firstLine="851"/>
        <w:jc w:val="both"/>
        <w:rPr>
          <w:rFonts w:ascii="Times New Roman" w:eastAsia="Arial" w:hAnsi="Times New Roman"/>
          <w:sz w:val="24"/>
          <w:szCs w:val="24"/>
        </w:rPr>
      </w:pPr>
      <w:r w:rsidRPr="005B2F96">
        <w:rPr>
          <w:rFonts w:ascii="Times New Roman" w:eastAsia="Arial" w:hAnsi="Times New Roman"/>
          <w:sz w:val="24"/>
          <w:szCs w:val="24"/>
        </w:rPr>
        <w:t xml:space="preserve">2. Нарушение Федерального закона Российской Федерации от 21.11.1996 № 129-ФЗ «О бухгалтерском учете», в частности: </w:t>
      </w:r>
    </w:p>
    <w:p w:rsidR="00795BEE" w:rsidRPr="006D65EC" w:rsidRDefault="00795BEE" w:rsidP="00795BE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2F96">
        <w:rPr>
          <w:rFonts w:ascii="Times New Roman" w:eastAsia="Arial" w:hAnsi="Times New Roman"/>
          <w:sz w:val="24"/>
          <w:szCs w:val="24"/>
        </w:rPr>
        <w:t xml:space="preserve">- </w:t>
      </w:r>
      <w:r w:rsidRPr="005B2F96">
        <w:rPr>
          <w:rFonts w:ascii="Times New Roman" w:hAnsi="Times New Roman"/>
          <w:sz w:val="24"/>
          <w:szCs w:val="24"/>
        </w:rPr>
        <w:t>несоответствие аналитического учета синтетическому</w:t>
      </w:r>
      <w:r w:rsidRPr="006D65EC">
        <w:rPr>
          <w:rFonts w:ascii="Times New Roman" w:hAnsi="Times New Roman"/>
          <w:sz w:val="24"/>
          <w:szCs w:val="24"/>
        </w:rPr>
        <w:t xml:space="preserve"> по учету материальных запасов;</w:t>
      </w:r>
      <w:proofErr w:type="gramEnd"/>
    </w:p>
    <w:p w:rsidR="00795BEE" w:rsidRDefault="00795BEE" w:rsidP="00795BE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65EC">
        <w:rPr>
          <w:rFonts w:ascii="Times New Roman" w:hAnsi="Times New Roman"/>
          <w:sz w:val="24"/>
          <w:szCs w:val="24"/>
        </w:rPr>
        <w:t>- принятие к учету первичных учетных документов</w:t>
      </w:r>
      <w:r>
        <w:rPr>
          <w:rFonts w:ascii="Times New Roman" w:hAnsi="Times New Roman"/>
          <w:sz w:val="24"/>
          <w:szCs w:val="24"/>
        </w:rPr>
        <w:t>,</w:t>
      </w:r>
      <w:r w:rsidRPr="006D65EC">
        <w:rPr>
          <w:rFonts w:ascii="Times New Roman" w:hAnsi="Times New Roman"/>
          <w:sz w:val="24"/>
          <w:szCs w:val="24"/>
        </w:rPr>
        <w:t xml:space="preserve"> не содержащих обязательные реквизиты.</w:t>
      </w:r>
    </w:p>
    <w:p w:rsidR="00DC5060" w:rsidRDefault="00DC5060" w:rsidP="00795BE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64692" w:rsidRDefault="00E64692" w:rsidP="00795BE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64692" w:rsidRDefault="00E64692" w:rsidP="00795BE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64692" w:rsidRDefault="00BC25A4" w:rsidP="00BC25A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25A4">
        <w:rPr>
          <w:rFonts w:ascii="Times New Roman" w:hAnsi="Times New Roman"/>
          <w:b/>
          <w:sz w:val="24"/>
          <w:szCs w:val="24"/>
        </w:rPr>
        <w:lastRenderedPageBreak/>
        <w:t>Итоги социально-экономического развития города Покачи.</w:t>
      </w:r>
    </w:p>
    <w:p w:rsidR="00BC25A4" w:rsidRDefault="00BC25A4" w:rsidP="00BC25A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25A4" w:rsidRPr="00B411F6" w:rsidRDefault="00BC25A4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F6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</w:t>
      </w:r>
      <w:r w:rsidR="00C42199" w:rsidRPr="00B411F6">
        <w:rPr>
          <w:rFonts w:ascii="Times New Roman" w:hAnsi="Times New Roman" w:cs="Times New Roman"/>
          <w:sz w:val="24"/>
          <w:szCs w:val="24"/>
        </w:rPr>
        <w:t xml:space="preserve">к отчету </w:t>
      </w:r>
      <w:r w:rsidRPr="00B411F6">
        <w:rPr>
          <w:rFonts w:ascii="Times New Roman" w:hAnsi="Times New Roman" w:cs="Times New Roman"/>
          <w:sz w:val="24"/>
          <w:szCs w:val="24"/>
        </w:rPr>
        <w:t>социально-экономическо</w:t>
      </w:r>
      <w:r w:rsidR="00C42199" w:rsidRPr="00B411F6">
        <w:rPr>
          <w:rFonts w:ascii="Times New Roman" w:hAnsi="Times New Roman" w:cs="Times New Roman"/>
          <w:sz w:val="24"/>
          <w:szCs w:val="24"/>
        </w:rPr>
        <w:t>е</w:t>
      </w:r>
      <w:r w:rsidRPr="00B411F6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C42199" w:rsidRPr="00B411F6">
        <w:rPr>
          <w:rFonts w:ascii="Times New Roman" w:hAnsi="Times New Roman" w:cs="Times New Roman"/>
          <w:sz w:val="24"/>
          <w:szCs w:val="24"/>
        </w:rPr>
        <w:t>е</w:t>
      </w:r>
      <w:r w:rsidRPr="00B411F6">
        <w:rPr>
          <w:rFonts w:ascii="Times New Roman" w:hAnsi="Times New Roman" w:cs="Times New Roman"/>
          <w:sz w:val="24"/>
          <w:szCs w:val="24"/>
        </w:rPr>
        <w:t xml:space="preserve"> города Покачи за 2013 год демонстрирует</w:t>
      </w:r>
      <w:r w:rsidR="00C42199" w:rsidRPr="00B411F6">
        <w:rPr>
          <w:rFonts w:ascii="Times New Roman" w:hAnsi="Times New Roman" w:cs="Times New Roman"/>
          <w:sz w:val="24"/>
          <w:szCs w:val="24"/>
        </w:rPr>
        <w:t xml:space="preserve"> положительную динамику во всех сферах.</w:t>
      </w:r>
    </w:p>
    <w:p w:rsidR="00C42199" w:rsidRPr="00B411F6" w:rsidRDefault="00C42199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F6">
        <w:rPr>
          <w:rFonts w:ascii="Times New Roman" w:hAnsi="Times New Roman" w:cs="Times New Roman"/>
          <w:sz w:val="24"/>
          <w:szCs w:val="24"/>
        </w:rPr>
        <w:t>В сфере потребительского рынка наблюдается устойчивый рост объемов реализованных населению товаров</w:t>
      </w:r>
      <w:r w:rsidR="000B6922" w:rsidRPr="00B411F6">
        <w:rPr>
          <w:rFonts w:ascii="Times New Roman" w:hAnsi="Times New Roman" w:cs="Times New Roman"/>
          <w:sz w:val="24"/>
          <w:szCs w:val="24"/>
        </w:rPr>
        <w:t>,</w:t>
      </w:r>
      <w:r w:rsidRPr="00B411F6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B411F6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411F6">
        <w:rPr>
          <w:rFonts w:ascii="Times New Roman" w:hAnsi="Times New Roman" w:cs="Times New Roman"/>
          <w:sz w:val="24"/>
          <w:szCs w:val="24"/>
        </w:rPr>
        <w:t xml:space="preserve"> населения, создание новых рабочих мест. </w:t>
      </w:r>
    </w:p>
    <w:p w:rsidR="000B6922" w:rsidRPr="00B411F6" w:rsidRDefault="000B6922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922" w:rsidRPr="00B411F6" w:rsidRDefault="000B6922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F6">
        <w:rPr>
          <w:rFonts w:ascii="Times New Roman" w:hAnsi="Times New Roman" w:cs="Times New Roman"/>
          <w:sz w:val="24"/>
          <w:szCs w:val="24"/>
        </w:rPr>
        <w:t>Среднемесячная заработная плата по крупным и средним предприятиям города увеличилась на 5% по сравнению с 2012 годом.</w:t>
      </w:r>
    </w:p>
    <w:p w:rsidR="000B6922" w:rsidRPr="00B411F6" w:rsidRDefault="000B6922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922" w:rsidRPr="00B411F6" w:rsidRDefault="000B6922" w:rsidP="00B411F6">
      <w:pPr>
        <w:pStyle w:val="21"/>
        <w:contextualSpacing/>
        <w:rPr>
          <w:sz w:val="24"/>
          <w:szCs w:val="24"/>
        </w:rPr>
      </w:pPr>
      <w:r w:rsidRPr="00B411F6">
        <w:rPr>
          <w:sz w:val="24"/>
          <w:szCs w:val="24"/>
        </w:rPr>
        <w:t>Инфраструктура здравоохранения города Покачи представлена двумя муниципальными учреждениями: муниципальное бюджетное учреждение здравоохранения «Центральная городская больница» на 133 круглосуточные койки и 430 посещений в смену, муниципальное автономное учреждение здравоохранения «Стоматологическая поликлиника» на 170 посещений в смену. Оба учреждения функционируют в системе обязательного медицинского страхования и оказывают платные медицинские услуги (включая услуги в рамках добровольного медицинского страхования).</w:t>
      </w:r>
    </w:p>
    <w:p w:rsidR="00B411F6" w:rsidRPr="00B411F6" w:rsidRDefault="000B6922" w:rsidP="00B411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11F6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конце 2012 года учреждения здравоохранения города Покачи внедрили в работу оказание государственных (муниципальных) услуг в электронной форме</w:t>
      </w:r>
      <w:r w:rsidRPr="00B411F6">
        <w:rPr>
          <w:rFonts w:ascii="Times New Roman" w:hAnsi="Times New Roman" w:cs="Times New Roman"/>
          <w:sz w:val="24"/>
          <w:szCs w:val="24"/>
        </w:rPr>
        <w:t>.</w:t>
      </w:r>
      <w:r w:rsidR="00B411F6" w:rsidRPr="00B411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411F6" w:rsidRPr="00B411F6" w:rsidRDefault="00B411F6" w:rsidP="00B411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F6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реализации программы «Модернизация здравоохранения в ХМАО-Югре в 2011-2012 годах» в работу МБУЗ «ЦГБ» на 01.01.2013г. внедрены 16 федеральных стандартов оказания медицинской помощи. Работа по дальнейшему внедрению стандартов медицинской помощи продолжается.</w:t>
      </w:r>
    </w:p>
    <w:p w:rsidR="000B6922" w:rsidRPr="00B411F6" w:rsidRDefault="000B6922" w:rsidP="00B411F6">
      <w:pPr>
        <w:pStyle w:val="21"/>
        <w:contextualSpacing/>
        <w:rPr>
          <w:sz w:val="24"/>
          <w:szCs w:val="24"/>
        </w:rPr>
      </w:pPr>
      <w:r w:rsidRPr="00B411F6">
        <w:rPr>
          <w:sz w:val="24"/>
          <w:szCs w:val="24"/>
        </w:rPr>
        <w:tab/>
      </w:r>
    </w:p>
    <w:p w:rsidR="00B411F6" w:rsidRPr="00B411F6" w:rsidRDefault="00B411F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B411F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Город Покачи располагает развитой сетью образовательных учреждений различных типов и видов, обеспечивающей реальную возможность гражданам получить образование соответствующего уровня. </w:t>
      </w:r>
    </w:p>
    <w:p w:rsidR="00B411F6" w:rsidRPr="00B411F6" w:rsidRDefault="00B411F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B411F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В городе по состоянию на 01.01.2014 функционируют 12 -</w:t>
      </w:r>
      <w:r w:rsidR="00AC4DE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</w:t>
      </w:r>
      <w:r w:rsidRPr="00B411F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образовательных учреждений: 5 - детских садов, 3 - средних общеобразовательных школы, 3 - учреждения дополнительного образования детей (детская музыкальная школа, детско-юношеская спортивная школа, </w:t>
      </w:r>
      <w:r w:rsidR="00AC4DE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Ц</w:t>
      </w:r>
      <w:r w:rsidRPr="00B411F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ентр развития творчества детей и юношества), 1 – филиал </w:t>
      </w:r>
      <w:proofErr w:type="spellStart"/>
      <w:r w:rsidRPr="00B411F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Лангепасского</w:t>
      </w:r>
      <w:proofErr w:type="spellEnd"/>
      <w:r w:rsidRPr="00B411F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профессионального колледжа.</w:t>
      </w:r>
    </w:p>
    <w:p w:rsidR="00B411F6" w:rsidRPr="00B411F6" w:rsidRDefault="00B411F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B411F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Общее количество детей в дошкольных учреждениях города увеличилось до 1067  (в 2012 году число детей составляло 1020 детей).</w:t>
      </w:r>
    </w:p>
    <w:p w:rsidR="00B411F6" w:rsidRPr="00B411F6" w:rsidRDefault="00B411F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B411F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Общее количество учащихся в средних общеобразовательных школах по состоянию на 01 сентября за 2013 год – 2017 чел., (аналогичный период 2012 года – 2022 чел.).</w:t>
      </w:r>
    </w:p>
    <w:p w:rsidR="00B411F6" w:rsidRPr="00B411F6" w:rsidRDefault="00B411F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B411F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Система</w:t>
      </w:r>
      <w:r w:rsidRPr="00B411F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 xml:space="preserve"> </w:t>
      </w:r>
      <w:r w:rsidRPr="00B411F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образования города Покачи, несмотря на достаточно высокую оценку со стороны потребителей предоставляемых услуг, имеет ряд проблем, которые требуют своего решения:</w:t>
      </w:r>
    </w:p>
    <w:p w:rsidR="00B411F6" w:rsidRPr="00AC4DE6" w:rsidRDefault="00B411F6" w:rsidP="00AC4DE6">
      <w:pPr>
        <w:pStyle w:val="a5"/>
        <w:widowControl w:val="0"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AC4DE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Здания образовательных учреждений требуют проведения работ по обеспечению безопасных условий учебного процесса, устранения предписаний надзорных органов. Необходимо обновление мебели в образовательных учреждениях.</w:t>
      </w:r>
    </w:p>
    <w:p w:rsidR="00B411F6" w:rsidRPr="00AC4DE6" w:rsidRDefault="00B411F6" w:rsidP="00AC4DE6">
      <w:pPr>
        <w:pStyle w:val="a5"/>
        <w:widowControl w:val="0"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AC4DE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Информационное обеспечение образовательного и управленческого процессов требует постоянного обновления. Необходимо завершение работ по подключению образовательных учреждений к информационной системе, обеспечивающей  взаимодействие с региональным и государственным порталами муниципальных услуг  и переведение процесса управления на качественно новый уровень.</w:t>
      </w:r>
    </w:p>
    <w:p w:rsidR="00B411F6" w:rsidRPr="00AC4DE6" w:rsidRDefault="00B411F6" w:rsidP="00AC4DE6">
      <w:pPr>
        <w:pStyle w:val="a5"/>
        <w:widowControl w:val="0"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AC4DE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Требует продолжения формирование системы работы с одаренными детьми. Особое внимание необходимо уделять подготовке участников окружных предметных олимпиад.</w:t>
      </w:r>
    </w:p>
    <w:p w:rsidR="00B411F6" w:rsidRPr="00AC4DE6" w:rsidRDefault="00B411F6" w:rsidP="00AC4DE6">
      <w:pPr>
        <w:pStyle w:val="a5"/>
        <w:widowControl w:val="0"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AC4DE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lastRenderedPageBreak/>
        <w:t>Требует внимания несоответствие подготовки руководящих кадров в части финансового, нормативно-правового обеспечения деятельности образовательного учреждения современным требованиям.</w:t>
      </w:r>
    </w:p>
    <w:p w:rsidR="00B411F6" w:rsidRPr="00AC4DE6" w:rsidRDefault="00B411F6" w:rsidP="00AC4DE6">
      <w:pPr>
        <w:pStyle w:val="a5"/>
        <w:widowControl w:val="0"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AC4DE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Недостаточное бюджетное финансирование требует активизации работы образовательных учреждений по привлечению внебюджетных средств. </w:t>
      </w:r>
    </w:p>
    <w:p w:rsidR="00C42199" w:rsidRPr="00B411F6" w:rsidRDefault="00C42199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1F6" w:rsidRPr="00925CB5" w:rsidRDefault="00B411F6" w:rsidP="00B411F6">
      <w:pPr>
        <w:pStyle w:val="21"/>
        <w:contextualSpacing/>
        <w:rPr>
          <w:sz w:val="24"/>
          <w:szCs w:val="24"/>
        </w:rPr>
      </w:pPr>
      <w:r w:rsidRPr="00925CB5">
        <w:rPr>
          <w:sz w:val="24"/>
          <w:szCs w:val="24"/>
        </w:rPr>
        <w:t>В сфере опеки и попечительства по итогам работы за январь-декабрь 2013 года</w:t>
      </w:r>
      <w:r w:rsidRPr="00925CB5">
        <w:rPr>
          <w:b/>
          <w:sz w:val="24"/>
          <w:szCs w:val="24"/>
        </w:rPr>
        <w:t xml:space="preserve"> </w:t>
      </w:r>
      <w:r w:rsidRPr="00925CB5">
        <w:rPr>
          <w:sz w:val="24"/>
          <w:szCs w:val="24"/>
        </w:rPr>
        <w:t>безнадзорных, беспризорных и подкинутых детей в городе Покачи не выявлено.</w:t>
      </w:r>
    </w:p>
    <w:p w:rsidR="00B411F6" w:rsidRPr="00925CB5" w:rsidRDefault="00B411F6" w:rsidP="00B411F6">
      <w:pPr>
        <w:pStyle w:val="21"/>
        <w:contextualSpacing/>
        <w:rPr>
          <w:sz w:val="24"/>
          <w:szCs w:val="24"/>
        </w:rPr>
      </w:pPr>
      <w:r w:rsidRPr="00925CB5">
        <w:rPr>
          <w:sz w:val="24"/>
          <w:szCs w:val="24"/>
        </w:rPr>
        <w:t>Согласно Законодательству, в 2013 году было приобретено 2 жилых помещения</w:t>
      </w:r>
      <w:r w:rsidRPr="00925CB5">
        <w:rPr>
          <w:color w:val="000000"/>
          <w:sz w:val="24"/>
          <w:szCs w:val="24"/>
          <w:lang w:eastAsia="ru-RU"/>
        </w:rPr>
        <w:t xml:space="preserve"> </w:t>
      </w:r>
      <w:r w:rsidRPr="00925CB5">
        <w:rPr>
          <w:sz w:val="24"/>
          <w:szCs w:val="24"/>
        </w:rPr>
        <w:t>для 2 (двух) детей-сирот и детей, оставшихся без попечения родителей.</w:t>
      </w:r>
    </w:p>
    <w:p w:rsidR="00B411F6" w:rsidRPr="00925CB5" w:rsidRDefault="00B411F6" w:rsidP="00B411F6">
      <w:pPr>
        <w:pStyle w:val="21"/>
        <w:contextualSpacing/>
        <w:rPr>
          <w:sz w:val="24"/>
          <w:szCs w:val="24"/>
        </w:rPr>
      </w:pPr>
    </w:p>
    <w:p w:rsidR="00B411F6" w:rsidRPr="00925CB5" w:rsidRDefault="00B411F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925CB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В сфере физической культуры и спорта за 2013 год проведено 281 мероприятие с участием 10 725 чел. </w:t>
      </w:r>
    </w:p>
    <w:p w:rsidR="00B411F6" w:rsidRPr="00925CB5" w:rsidRDefault="00B411F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925CB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Городских мероприятий 151 с участием 9317 чел., выездных мероприятий 178 с участием 1408 чел.</w:t>
      </w:r>
    </w:p>
    <w:p w:rsidR="00925CB5" w:rsidRPr="00925CB5" w:rsidRDefault="00B411F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925CB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Приняло участие в соревнованиях 14 предприятий, организаций, учреждений города</w:t>
      </w:r>
      <w:r w:rsidR="00925CB5" w:rsidRPr="00925CB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.</w:t>
      </w:r>
    </w:p>
    <w:p w:rsidR="00925CB5" w:rsidRPr="00925CB5" w:rsidRDefault="00925CB5" w:rsidP="00925C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</w:pPr>
      <w:r w:rsidRPr="00925CB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  <w:t>Существующие проблемы развития данной отрасли в городе:</w:t>
      </w:r>
    </w:p>
    <w:p w:rsidR="00925CB5" w:rsidRPr="00925CB5" w:rsidRDefault="00925CB5" w:rsidP="00925C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</w:pPr>
      <w:r w:rsidRPr="00925CB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  <w:t xml:space="preserve"> - </w:t>
      </w:r>
      <w:r w:rsidRPr="00925CB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Отсутствие средств на выполнение работ по капитальному ремонту спортивных учреждений города (ФОК «Сибиряк»);</w:t>
      </w:r>
    </w:p>
    <w:p w:rsidR="00925CB5" w:rsidRPr="00925CB5" w:rsidRDefault="00925CB5" w:rsidP="00925C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 w:rsidRPr="00925CB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  <w:t xml:space="preserve">- </w:t>
      </w:r>
      <w:r w:rsidRPr="00925CB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Отсутствие материально-технической базы для развития лыжного спорта.</w:t>
      </w:r>
    </w:p>
    <w:p w:rsidR="00925CB5" w:rsidRPr="00925CB5" w:rsidRDefault="00925CB5" w:rsidP="00925C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</w:pPr>
    </w:p>
    <w:p w:rsidR="00925CB5" w:rsidRPr="00925CB5" w:rsidRDefault="00925CB5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 w:rsidRPr="00925CB5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В сфере культуры и искусства в</w:t>
      </w:r>
      <w:r w:rsidRPr="00925CB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2013 году сеть учреждений культуры города осталась прежней. В городе стабильно функционируют культурно-просветительские учреждения</w:t>
      </w:r>
      <w:r w:rsidRPr="00925CB5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.</w:t>
      </w:r>
    </w:p>
    <w:p w:rsidR="00925CB5" w:rsidRPr="00925CB5" w:rsidRDefault="00925CB5" w:rsidP="00925CB5">
      <w:pPr>
        <w:pStyle w:val="a3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925CB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Реорганизация учреждений дополнительного образования не была завершена в запланированные сроки в связи с тем, что здание Центра искусств не было передано в оперативное управление детской музыкальной школе. Процедура реорганизации была продлена до 31 августа 2014 года.</w:t>
      </w:r>
    </w:p>
    <w:p w:rsidR="00925CB5" w:rsidRPr="00925CB5" w:rsidRDefault="00925CB5" w:rsidP="00925CB5">
      <w:pPr>
        <w:pStyle w:val="a3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</w:pPr>
      <w:r w:rsidRPr="00925CB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  <w:t>Проблемы развития отрасли в городе:</w:t>
      </w:r>
    </w:p>
    <w:p w:rsidR="00925CB5" w:rsidRPr="003A588C" w:rsidRDefault="00925CB5" w:rsidP="00925CB5">
      <w:pPr>
        <w:pStyle w:val="a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925CB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  <w:t xml:space="preserve">1) недостаточность, а по отдельным муниципальным программам отсутствие </w:t>
      </w:r>
      <w:r w:rsidRPr="003A588C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финансирования программных мероприятий, что ведет к неполному исполнению поставленной цели и реализации запланированных задач;</w:t>
      </w:r>
    </w:p>
    <w:p w:rsidR="00925CB5" w:rsidRPr="003A588C" w:rsidRDefault="00925CB5" w:rsidP="00925CB5">
      <w:pPr>
        <w:pStyle w:val="a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3A588C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  <w:t>2) проблема недостаточно высокого (и продолжающего снижаться) уровня квалификации кадров.</w:t>
      </w:r>
    </w:p>
    <w:p w:rsidR="00B411F6" w:rsidRPr="003A588C" w:rsidRDefault="00B411F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3A588C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</w:t>
      </w:r>
    </w:p>
    <w:p w:rsidR="00925CB5" w:rsidRPr="003A588C" w:rsidRDefault="00925CB5" w:rsidP="00925C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88C">
        <w:rPr>
          <w:rFonts w:ascii="Times New Roman" w:hAnsi="Times New Roman"/>
          <w:sz w:val="24"/>
          <w:szCs w:val="24"/>
        </w:rPr>
        <w:t xml:space="preserve">Занятость населения. </w:t>
      </w:r>
      <w:r w:rsidRPr="003A588C">
        <w:rPr>
          <w:rFonts w:ascii="Times New Roman" w:eastAsia="Times New Roman" w:hAnsi="Times New Roman" w:cs="Times New Roman"/>
          <w:sz w:val="24"/>
          <w:szCs w:val="24"/>
        </w:rPr>
        <w:t>Численность граждан, обратившихся в КУ «Покачевский центр занятости населения» за содействием в поиске подходящей работы в январе-декабре 2013 года, снизилась по сравнению с аналогичным периодом прошлого года на 138 чел. и составила 845 чел. (в 2012 году - 983 чел.).</w:t>
      </w:r>
      <w:r w:rsidRPr="003A588C">
        <w:rPr>
          <w:rFonts w:ascii="Times New Roman" w:hAnsi="Times New Roman"/>
          <w:sz w:val="24"/>
          <w:szCs w:val="24"/>
        </w:rPr>
        <w:t xml:space="preserve"> </w:t>
      </w:r>
      <w:r w:rsidRPr="003A588C">
        <w:rPr>
          <w:rFonts w:ascii="Times New Roman" w:eastAsia="Times New Roman" w:hAnsi="Times New Roman" w:cs="Times New Roman"/>
          <w:sz w:val="24"/>
          <w:szCs w:val="24"/>
        </w:rPr>
        <w:t>Снижению числа обращений способствовало улучшение ситуации на рынке труда г. Покачи, в частности, улучшение ситуации на предприятиях города, что привело к уменьшению количества увольнений.</w:t>
      </w:r>
    </w:p>
    <w:p w:rsidR="00925CB5" w:rsidRPr="003A588C" w:rsidRDefault="00925CB5" w:rsidP="00925C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CB5" w:rsidRPr="003A588C" w:rsidRDefault="00925CB5" w:rsidP="00925CB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Инвестиции в основной капитал по предварительной оценке за 2013 год составят ориентировочно 365,74 млн. рублей, или 69,1% к уровню аналогичного периода 2012 года (529,66 млн. руб.) в сопоставимых ценах.</w:t>
      </w:r>
    </w:p>
    <w:p w:rsidR="00925CB5" w:rsidRPr="003A588C" w:rsidRDefault="00925CB5" w:rsidP="00925C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отчетный период начато строительство 20 объектов, в том числе: 9 индивидуальных жилых домов, 2 многоквартирных жилых домов, 8 объектов производственного назначения.</w:t>
      </w:r>
    </w:p>
    <w:p w:rsidR="00925CB5" w:rsidRPr="003A588C" w:rsidRDefault="00925CB5" w:rsidP="00925CB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Введено в эксплуатацию 13 объектов капитального строительства, в том числе:  индивидуальных жилых домов – 6, общей площадью жилых помещений</w:t>
      </w:r>
      <w:r w:rsidR="00AC4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737м</w:t>
      </w:r>
      <w:r w:rsidRPr="003A58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, многоквартирных жилых домов – 2, общей площадью 6 254м</w:t>
      </w:r>
      <w:r w:rsidRPr="003A58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 объекта «долгостроя» - 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</w:t>
      </w:r>
      <w:proofErr w:type="spellStart"/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Пождепо</w:t>
      </w:r>
      <w:proofErr w:type="spellEnd"/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4 автомашины» и «Центр искусств», а также, введен в эксплуатацию, после  реконструкции, стратегически важный объект - «ПС 35/10 «Городская». </w:t>
      </w:r>
      <w:proofErr w:type="gramEnd"/>
    </w:p>
    <w:p w:rsidR="00925CB5" w:rsidRPr="003A588C" w:rsidRDefault="00925CB5" w:rsidP="00925C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CB5" w:rsidRPr="003A588C" w:rsidRDefault="00925CB5" w:rsidP="00925CB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88C">
        <w:rPr>
          <w:rFonts w:ascii="Times New Roman" w:hAnsi="Times New Roman"/>
          <w:sz w:val="24"/>
          <w:szCs w:val="24"/>
        </w:rPr>
        <w:t xml:space="preserve">В рамках мероприятий по благоустройству города </w:t>
      </w:r>
      <w:r w:rsidRPr="003A588C">
        <w:rPr>
          <w:rFonts w:ascii="Times New Roman" w:hAnsi="Times New Roman"/>
          <w:sz w:val="24"/>
          <w:szCs w:val="24"/>
          <w:lang w:eastAsia="ar-SA"/>
        </w:rPr>
        <w:t xml:space="preserve">исполнено 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</w:t>
      </w:r>
      <w:r w:rsidRPr="003A588C">
        <w:rPr>
          <w:rFonts w:ascii="Times New Roman" w:hAnsi="Times New Roman"/>
          <w:sz w:val="24"/>
          <w:szCs w:val="24"/>
          <w:lang w:eastAsia="ar-SA"/>
        </w:rPr>
        <w:t>о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дворовых территорий</w:t>
      </w:r>
      <w:r w:rsidR="00AC4DE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прилегающих к многоквартирным домам, т.е. устройство тротуаров по ул. </w:t>
      </w:r>
      <w:proofErr w:type="gramStart"/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Комсомольская</w:t>
      </w:r>
      <w:proofErr w:type="gramEnd"/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д.15, 17. По состоянию на 01.11.2013 года выполнены работы по устройству пешеходных дорожек на детской площадке во внутридомовом пространстве жилых домов по ул. Мира, д.3,5,7.</w:t>
      </w:r>
    </w:p>
    <w:p w:rsidR="00925CB5" w:rsidRPr="003A588C" w:rsidRDefault="00925CB5" w:rsidP="00925CB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2013 году осуществлен ремонт сетей инженерно-технического  обеспечения, установлены объекты светофорного регулирования,  опоры для крепления </w:t>
      </w:r>
      <w:proofErr w:type="spellStart"/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фотовидеофиксаторов</w:t>
      </w:r>
      <w:proofErr w:type="spellEnd"/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нарушений правил дорожного движения. </w:t>
      </w:r>
    </w:p>
    <w:p w:rsidR="00925CB5" w:rsidRPr="003A588C" w:rsidRDefault="00925CB5" w:rsidP="00925CB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0DE3" w:rsidRDefault="00925CB5" w:rsidP="00925CB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имущественных отношений</w:t>
      </w:r>
      <w:r w:rsidRPr="003A588C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состоянию на 01.01.2014 года сформирован реестр муниципальной собственности по городу Покачи в размере 5 млрд. 785 млн. 105 тыс. 848,66 руб</w:t>
      </w:r>
      <w:r w:rsidR="00030DE3">
        <w:rPr>
          <w:rFonts w:ascii="Times New Roman" w:hAnsi="Times New Roman"/>
          <w:sz w:val="24"/>
          <w:szCs w:val="24"/>
          <w:lang w:eastAsia="ar-SA"/>
        </w:rPr>
        <w:t>.</w:t>
      </w:r>
    </w:p>
    <w:p w:rsidR="00925CB5" w:rsidRPr="003A588C" w:rsidRDefault="00925CB5" w:rsidP="00925CB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отчетный период подготовлено 73  приказа  КУМИ администрации города на списание 13690 единиц имущества из реестра муниципальной собственности общей балансовой стоимостью 77 млн. 829 тыс. 913,76 руб.</w:t>
      </w:r>
    </w:p>
    <w:p w:rsidR="00925CB5" w:rsidRPr="003A588C" w:rsidRDefault="00925CB5" w:rsidP="00925CB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2013 году принято в муниципальную собственность государственного имущества на сумму 38 млн.807тыс.487,66 руб.</w:t>
      </w:r>
    </w:p>
    <w:p w:rsidR="00925CB5" w:rsidRPr="003A588C" w:rsidRDefault="00925CB5" w:rsidP="00925CB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разграничения государственной собственности проводились мероприятия по передаче муниципального имущества в окружную и федеральную собственность. За  2013 год передано имущества на общую сумму 11 млн. 121 тыс. 602,99 руб.</w:t>
      </w:r>
    </w:p>
    <w:p w:rsidR="00365EC0" w:rsidRPr="003A588C" w:rsidRDefault="00365EC0" w:rsidP="00365E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88C">
        <w:rPr>
          <w:rFonts w:ascii="Times New Roman" w:hAnsi="Times New Roman"/>
          <w:sz w:val="24"/>
          <w:szCs w:val="24"/>
          <w:lang w:eastAsia="ar-SA"/>
        </w:rPr>
        <w:t>О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т реализации муниципального имущества в местный бюджет поступило 3 861 469,67 руб.</w:t>
      </w:r>
      <w:r w:rsidRPr="003A588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65EC0" w:rsidRDefault="00365EC0" w:rsidP="00365E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2013 год от аренды муниципального имущества (с учетом поступлений за наем муниципальных жилых помещений) в местный бюджет поступило 11 млн. 337 тыс. 550 руб. 22 коп.</w:t>
      </w:r>
    </w:p>
    <w:p w:rsidR="003A588C" w:rsidRPr="003A588C" w:rsidRDefault="003A588C" w:rsidP="00365E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B2D05" w:rsidRPr="003A588C" w:rsidRDefault="00DB2D05" w:rsidP="00365E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88C">
        <w:rPr>
          <w:rFonts w:ascii="Times New Roman" w:hAnsi="Times New Roman"/>
          <w:sz w:val="24"/>
          <w:szCs w:val="24"/>
          <w:lang w:eastAsia="ar-SA"/>
        </w:rPr>
        <w:t xml:space="preserve">Земельные отношения. </w:t>
      </w:r>
    </w:p>
    <w:p w:rsidR="00DB2D05" w:rsidRPr="003A588C" w:rsidRDefault="00DB2D05" w:rsidP="00365E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отчетный период от сдачи в аренду земельных участков в бюджет города Покачи поступило всего 19 381 418,77 рублей</w:t>
      </w:r>
      <w:r w:rsidRPr="003A588C">
        <w:rPr>
          <w:rFonts w:ascii="Times New Roman" w:hAnsi="Times New Roman"/>
          <w:sz w:val="24"/>
          <w:szCs w:val="24"/>
          <w:lang w:eastAsia="ar-SA"/>
        </w:rPr>
        <w:t>.</w:t>
      </w:r>
    </w:p>
    <w:p w:rsidR="00DB2D05" w:rsidRPr="003A588C" w:rsidRDefault="00DB2D05" w:rsidP="00DB2D0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01.01.2014 задолженность </w:t>
      </w:r>
      <w:r w:rsidRPr="003A588C">
        <w:rPr>
          <w:rFonts w:ascii="Times New Roman" w:hAnsi="Times New Roman"/>
          <w:sz w:val="24"/>
          <w:szCs w:val="24"/>
          <w:lang w:eastAsia="ar-SA"/>
        </w:rPr>
        <w:t xml:space="preserve">по арендной плате за землю 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местный бюджет составляет 5 253 283,39 рублей. В сравнении с задолженностью по состоянию на 01.01.2013, которая составляла 5 320 140,12, наблюдается снижение на 66 856,73 или на 1,26%.</w:t>
      </w:r>
    </w:p>
    <w:p w:rsidR="00DB2D05" w:rsidRPr="003A588C" w:rsidRDefault="00DB2D05" w:rsidP="00DB2D0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Поступления от продажи земельных участков в местный бюджет составили 1 480 679,33 рублей</w:t>
      </w:r>
      <w:r w:rsidRPr="003A588C">
        <w:rPr>
          <w:rFonts w:ascii="Times New Roman" w:hAnsi="Times New Roman"/>
          <w:sz w:val="24"/>
          <w:szCs w:val="24"/>
          <w:lang w:eastAsia="ar-SA"/>
        </w:rPr>
        <w:t>.</w:t>
      </w:r>
    </w:p>
    <w:p w:rsidR="00DB2D05" w:rsidRPr="003A588C" w:rsidRDefault="00DB2D05" w:rsidP="00DB2D0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B2D05" w:rsidRPr="003A588C" w:rsidRDefault="00DB2D05" w:rsidP="00DB2D0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жилищных отношений</w:t>
      </w:r>
      <w:r w:rsidRPr="003A588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2013 год 23 семьям была перечислена социальная выплата на приобретение жилого помещения</w:t>
      </w:r>
      <w:r w:rsidRPr="003A588C">
        <w:rPr>
          <w:rFonts w:ascii="Times New Roman" w:hAnsi="Times New Roman"/>
          <w:sz w:val="24"/>
          <w:szCs w:val="24"/>
          <w:lang w:eastAsia="ar-SA"/>
        </w:rPr>
        <w:t>.</w:t>
      </w:r>
    </w:p>
    <w:p w:rsidR="00DB2D05" w:rsidRPr="003A588C" w:rsidRDefault="00DB2D05" w:rsidP="00DB2D0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2013 году 3 ветерана боевых действий получили субсидию на общую сумму 2 165 400 рублей</w:t>
      </w:r>
      <w:r w:rsidRPr="003A588C">
        <w:rPr>
          <w:rFonts w:ascii="Times New Roman" w:hAnsi="Times New Roman"/>
          <w:sz w:val="24"/>
          <w:szCs w:val="24"/>
          <w:lang w:eastAsia="ar-SA"/>
        </w:rPr>
        <w:t>.</w:t>
      </w:r>
    </w:p>
    <w:p w:rsidR="00DB2D05" w:rsidRPr="003A588C" w:rsidRDefault="00030DE3" w:rsidP="00DB2D0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</w:t>
      </w:r>
      <w:r w:rsidR="00DB2D05"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квартале 2013 года приобретено 2 480,4 кв.м. (57 квартир) общей площадью жилых помещений в многоквартирном жилом доме 9 по улице Ленина для дальнейшего </w:t>
      </w:r>
      <w:r w:rsidR="00DB2D05"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переселения граждан из жилых домов, признанных непригодными для проживания (Тюменская 3, 4)</w:t>
      </w:r>
      <w:r w:rsidRPr="00030DE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сумму в размере 98 391 630,4 руб.</w:t>
      </w:r>
    </w:p>
    <w:p w:rsidR="00DB2D05" w:rsidRPr="003A588C" w:rsidRDefault="00DB2D05" w:rsidP="00DB2D0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было переселено из жилых домов</w:t>
      </w:r>
      <w:r w:rsidR="00AC4DE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признанных непригодными для проживания</w:t>
      </w:r>
      <w:r w:rsidR="00AC4DE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36 семей, обеспечено 3 семьи</w:t>
      </w:r>
      <w:r w:rsidR="00AC4DE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стоящие в списке граждан, нуждающихся в улучшении жилищных условий по месту жительства при администрации города Покачи, имеющ</w:t>
      </w:r>
      <w:r w:rsidR="00AC4DE6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на внеочередное получение жилого помещения, 8 семей</w:t>
      </w:r>
      <w:r w:rsidR="00AC4DE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стоящих в списке граждан, нуждающихся в улучшении жилищных условий по месту жительства при администрации города Покачи,  предоставлено 4 квартиры на</w:t>
      </w:r>
      <w:proofErr w:type="gramEnd"/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работников бюджетной сферы служебным жильем и 6 квартир на формирование маневренного жилищного фонда.</w:t>
      </w:r>
    </w:p>
    <w:p w:rsidR="00DB2D05" w:rsidRPr="003A588C" w:rsidRDefault="00030DE3" w:rsidP="00DB2D0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многоквартирном жилом доме № 6 по улице Харьковская</w:t>
      </w:r>
      <w:r w:rsidRPr="003A588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B2D05"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приобретено 42 квартиры общей площадью 2 578,62 кв.м. на общую сумму 112 570,6 тыс</w:t>
      </w:r>
      <w:proofErr w:type="gramStart"/>
      <w:r w:rsidR="00DB2D05"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DB2D05"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уб. для дальнейшего переселения граждан из жилых домов, признанных непригодными для проживания (Коммунальная 2, 3)</w:t>
      </w:r>
      <w:r w:rsidR="00DB2D05" w:rsidRPr="003A588C">
        <w:rPr>
          <w:rFonts w:ascii="Times New Roman" w:hAnsi="Times New Roman"/>
          <w:sz w:val="24"/>
          <w:szCs w:val="24"/>
          <w:lang w:eastAsia="ar-SA"/>
        </w:rPr>
        <w:t>.</w:t>
      </w:r>
    </w:p>
    <w:p w:rsidR="00DB2D05" w:rsidRPr="003A588C" w:rsidRDefault="00DB2D05" w:rsidP="00DB2D0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переселено из жилых домов</w:t>
      </w:r>
      <w:r w:rsidR="00AC4DE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признанных непригодными для проживания</w:t>
      </w:r>
      <w:r w:rsidR="00AC4DE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 семей, обеспечено 2 семьи стоящие в списке граждан, нуждающихся в улучшении жилищных условий по месту жительства при администрации города Покачи, имеющ</w:t>
      </w:r>
      <w:r w:rsidR="00AC4DE6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на внеочередное получение жилого помещения, 5 семей</w:t>
      </w:r>
      <w:r w:rsidR="00AC4DE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стоящих в списке граждан, нуждающихся в улучшении жилищных условий по месту жительства при администрации города Покачи,  предоставлено 6 квартир на обеспечение</w:t>
      </w:r>
      <w:proofErr w:type="gramEnd"/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работников бюджетной сферы служебным жильем.</w:t>
      </w:r>
    </w:p>
    <w:p w:rsidR="00DB2D05" w:rsidRPr="003A588C" w:rsidRDefault="003A588C" w:rsidP="00DB2D0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состоянию на 31 декабря 2013 года приобретено на вторичном рынке жилья – 20 квартир (1-комнатных – 5 квартир, 2-комнатных – 11 квартир, 3-комнатных – 2 квартиры, 4-комнатных – 2 квартиры). Общая стоимость затрат составила – 37 192 413,50 рублей</w:t>
      </w:r>
      <w:r w:rsidRPr="003A588C">
        <w:rPr>
          <w:rFonts w:ascii="Times New Roman" w:hAnsi="Times New Roman"/>
          <w:sz w:val="24"/>
          <w:szCs w:val="24"/>
          <w:lang w:eastAsia="ar-SA"/>
        </w:rPr>
        <w:t>.</w:t>
      </w:r>
    </w:p>
    <w:p w:rsidR="003A588C" w:rsidRPr="003A588C" w:rsidRDefault="00030DE3" w:rsidP="00DB2D0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П</w:t>
      </w:r>
      <w:r w:rsidR="003A588C"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редоставлена субсидия на приобретение жилого помещения в собственность на территории автономного округа гражданам, проживающим в настоящее время в приспособленных для проживания строениях, вселенным в них до 1995 года, не имеющим жилых помещений, принадлежащих им на праве собственности или предоставленных им на основании договоров социального найма на территории Российской Федерации – 3 семьям.</w:t>
      </w:r>
      <w:proofErr w:type="gramEnd"/>
      <w:r w:rsidR="003A588C"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стоимость затрат составила – 4 114 204,50 рублей</w:t>
      </w:r>
      <w:r w:rsidR="003A588C">
        <w:rPr>
          <w:rFonts w:ascii="Times New Roman" w:hAnsi="Times New Roman"/>
          <w:sz w:val="24"/>
          <w:szCs w:val="24"/>
          <w:lang w:eastAsia="ar-SA"/>
        </w:rPr>
        <w:t>.</w:t>
      </w:r>
    </w:p>
    <w:p w:rsidR="00DB2D05" w:rsidRPr="003A588C" w:rsidRDefault="00DB2D05" w:rsidP="00DB2D0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5BEE" w:rsidRPr="003A588C" w:rsidRDefault="00795BEE" w:rsidP="00BC25A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DE7" w:rsidRPr="003A588C" w:rsidRDefault="00663DE7" w:rsidP="00795B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EE" w:rsidRPr="003A588C" w:rsidRDefault="00795BEE" w:rsidP="00795BEE">
      <w:pPr>
        <w:pStyle w:val="ConsPlusNonformat"/>
        <w:ind w:left="311"/>
        <w:rPr>
          <w:rFonts w:ascii="Times New Roman" w:eastAsia="Arial" w:hAnsi="Times New Roman" w:cs="Times New Roman"/>
          <w:b/>
          <w:sz w:val="24"/>
          <w:szCs w:val="24"/>
        </w:rPr>
      </w:pPr>
      <w:r w:rsidRPr="003A588C">
        <w:rPr>
          <w:rFonts w:ascii="Times New Roman" w:eastAsia="Arial" w:hAnsi="Times New Roman" w:cs="Times New Roman"/>
          <w:b/>
          <w:sz w:val="24"/>
          <w:szCs w:val="24"/>
        </w:rPr>
        <w:t>Основные выводы:</w:t>
      </w:r>
    </w:p>
    <w:p w:rsidR="00DC5060" w:rsidRPr="003A588C" w:rsidRDefault="00DC5060" w:rsidP="00795BEE">
      <w:pPr>
        <w:pStyle w:val="ConsPlusNonformat"/>
        <w:ind w:left="311"/>
        <w:rPr>
          <w:rFonts w:ascii="Times New Roman" w:eastAsia="Arial" w:hAnsi="Times New Roman" w:cs="Times New Roman"/>
          <w:b/>
          <w:sz w:val="24"/>
          <w:szCs w:val="24"/>
        </w:rPr>
      </w:pPr>
    </w:p>
    <w:p w:rsidR="00795BEE" w:rsidRPr="003A588C" w:rsidRDefault="00795BEE" w:rsidP="00795BEE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88C">
        <w:rPr>
          <w:rFonts w:ascii="Times New Roman" w:eastAsia="Arial" w:hAnsi="Times New Roman" w:cs="Times New Roman"/>
          <w:b/>
          <w:sz w:val="24"/>
          <w:szCs w:val="24"/>
        </w:rPr>
        <w:t xml:space="preserve">1. </w:t>
      </w:r>
      <w:r w:rsidRPr="003A588C">
        <w:rPr>
          <w:rFonts w:ascii="Times New Roman" w:eastAsia="Arial" w:hAnsi="Times New Roman" w:cs="Times New Roman"/>
          <w:sz w:val="24"/>
          <w:szCs w:val="24"/>
        </w:rPr>
        <w:t>Допущено н</w:t>
      </w:r>
      <w:r w:rsidRPr="003A588C">
        <w:rPr>
          <w:rFonts w:ascii="Times New Roman" w:hAnsi="Times New Roman" w:cs="Times New Roman"/>
          <w:sz w:val="24"/>
          <w:szCs w:val="24"/>
        </w:rPr>
        <w:t>еэффективное использование бюджетных средств на сумму 2 857 715,21 рубля, в том числе:</w:t>
      </w:r>
    </w:p>
    <w:p w:rsidR="00795BEE" w:rsidRPr="003A588C" w:rsidRDefault="00795BEE" w:rsidP="00795BE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8C">
        <w:rPr>
          <w:rFonts w:ascii="Times New Roman" w:hAnsi="Times New Roman" w:cs="Times New Roman"/>
          <w:sz w:val="24"/>
          <w:szCs w:val="24"/>
        </w:rPr>
        <w:t>- 2 838 777,53 рубля – списана сумма неисполненных обязатель</w:t>
      </w:r>
      <w:proofErr w:type="gramStart"/>
      <w:r w:rsidRPr="003A588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A588C">
        <w:rPr>
          <w:rFonts w:ascii="Times New Roman" w:hAnsi="Times New Roman" w:cs="Times New Roman"/>
          <w:sz w:val="24"/>
          <w:szCs w:val="24"/>
        </w:rPr>
        <w:t>ошлых лет подрядчиком ООО «</w:t>
      </w:r>
      <w:proofErr w:type="spellStart"/>
      <w:r w:rsidRPr="003A588C">
        <w:rPr>
          <w:rFonts w:ascii="Times New Roman" w:hAnsi="Times New Roman" w:cs="Times New Roman"/>
          <w:sz w:val="24"/>
          <w:szCs w:val="24"/>
        </w:rPr>
        <w:t>Электросиб</w:t>
      </w:r>
      <w:proofErr w:type="spellEnd"/>
      <w:r w:rsidRPr="003A588C">
        <w:rPr>
          <w:rFonts w:ascii="Times New Roman" w:hAnsi="Times New Roman" w:cs="Times New Roman"/>
          <w:sz w:val="24"/>
          <w:szCs w:val="24"/>
        </w:rPr>
        <w:t>» по объекту «Жилой дом №1 в 3 микрорайоне»;</w:t>
      </w:r>
    </w:p>
    <w:p w:rsidR="00795BEE" w:rsidRPr="003A588C" w:rsidRDefault="00795BEE" w:rsidP="00795BE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8C">
        <w:rPr>
          <w:rFonts w:ascii="Times New Roman" w:hAnsi="Times New Roman" w:cs="Times New Roman"/>
          <w:sz w:val="24"/>
          <w:szCs w:val="24"/>
        </w:rPr>
        <w:t>- 18 937,68 рубля списана сумма излишне уплаченного ЕСН.</w:t>
      </w:r>
    </w:p>
    <w:p w:rsidR="00795BEE" w:rsidRPr="003A588C" w:rsidRDefault="00795BEE" w:rsidP="00795BE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BEE" w:rsidRPr="003A588C" w:rsidRDefault="00795BEE" w:rsidP="00795BEE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8C">
        <w:rPr>
          <w:rFonts w:ascii="Times New Roman" w:hAnsi="Times New Roman" w:cs="Times New Roman"/>
          <w:sz w:val="24"/>
          <w:szCs w:val="24"/>
        </w:rPr>
        <w:t>В результате списания задолженности по арендной плате не получен доход в бюджет на сумму в сумме 480 264,02 рубля.</w:t>
      </w:r>
    </w:p>
    <w:p w:rsidR="00795BEE" w:rsidRPr="003A588C" w:rsidRDefault="00795BEE" w:rsidP="00795BEE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BEE" w:rsidRPr="003A588C" w:rsidRDefault="00795BEE" w:rsidP="00795BE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A588C">
        <w:rPr>
          <w:rFonts w:ascii="Times New Roman" w:eastAsia="Arial" w:hAnsi="Times New Roman" w:cs="Times New Roman"/>
          <w:sz w:val="24"/>
          <w:szCs w:val="24"/>
        </w:rPr>
        <w:t>В результате проведения контрольно-ревизионных мероприятий выявлено:</w:t>
      </w:r>
    </w:p>
    <w:p w:rsidR="00795BEE" w:rsidRPr="003A588C" w:rsidRDefault="001440E8" w:rsidP="00795BEE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3A588C">
        <w:rPr>
          <w:rFonts w:ascii="Times New Roman" w:eastAsia="Arial" w:hAnsi="Times New Roman" w:cs="Times New Roman"/>
          <w:sz w:val="24"/>
          <w:szCs w:val="24"/>
        </w:rPr>
        <w:lastRenderedPageBreak/>
        <w:t>н</w:t>
      </w:r>
      <w:r w:rsidR="00795BEE" w:rsidRPr="003A588C">
        <w:rPr>
          <w:rFonts w:ascii="Times New Roman" w:eastAsia="Arial" w:hAnsi="Times New Roman" w:cs="Times New Roman"/>
          <w:sz w:val="24"/>
          <w:szCs w:val="24"/>
        </w:rPr>
        <w:t xml:space="preserve">арушение </w:t>
      </w:r>
      <w:r w:rsidR="00795BEE" w:rsidRPr="003A588C">
        <w:rPr>
          <w:rFonts w:ascii="Times New Roman" w:hAnsi="Times New Roman" w:cs="Times New Roman"/>
          <w:sz w:val="24"/>
          <w:szCs w:val="24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</w:t>
      </w:r>
      <w:r w:rsidR="00795BEE" w:rsidRPr="003A588C">
        <w:rPr>
          <w:rFonts w:ascii="Times New Roman" w:hAnsi="Times New Roman"/>
          <w:sz w:val="24"/>
          <w:szCs w:val="24"/>
        </w:rPr>
        <w:t xml:space="preserve"> государственных академий наук, государственных (муниципальных) учреждений и инструкции по его применению, утвержденного Приказом Министерства финансов Российской Федерации от 01.12.2010 №157н;</w:t>
      </w:r>
    </w:p>
    <w:p w:rsidR="00795BEE" w:rsidRPr="003A588C" w:rsidRDefault="00795BEE" w:rsidP="00795BEE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b/>
          <w:sz w:val="24"/>
          <w:szCs w:val="24"/>
        </w:rPr>
      </w:pPr>
      <w:r w:rsidRPr="003A588C">
        <w:rPr>
          <w:rFonts w:ascii="Times New Roman" w:eastAsia="Arial" w:hAnsi="Times New Roman"/>
          <w:sz w:val="24"/>
          <w:szCs w:val="24"/>
        </w:rPr>
        <w:t>нарушение Федерального закона Российской Федерации от 21.11.1996 №129-ФЗ «О бухгалтерском учете».</w:t>
      </w:r>
    </w:p>
    <w:p w:rsidR="00795BEE" w:rsidRPr="00B53FAF" w:rsidRDefault="00795BEE" w:rsidP="00795BEE">
      <w:pPr>
        <w:pStyle w:val="a5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795BEE" w:rsidRPr="00DC5060" w:rsidRDefault="00795BEE" w:rsidP="00795BE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95BEE" w:rsidRDefault="00795BEE" w:rsidP="00795BEE">
      <w:pPr>
        <w:pStyle w:val="a5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5060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663DE7" w:rsidRPr="00DC5060" w:rsidRDefault="00663DE7" w:rsidP="00795BEE">
      <w:pPr>
        <w:pStyle w:val="a5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95BEE" w:rsidRPr="00E61127" w:rsidRDefault="00795BEE" w:rsidP="00663DE7">
      <w:pPr>
        <w:pStyle w:val="a5"/>
        <w:numPr>
          <w:ilvl w:val="1"/>
          <w:numId w:val="20"/>
        </w:numPr>
        <w:spacing w:after="0" w:line="240" w:lineRule="auto"/>
        <w:ind w:left="0" w:firstLine="720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E61127">
        <w:rPr>
          <w:rFonts w:ascii="Times New Roman" w:eastAsia="Arial" w:hAnsi="Times New Roman"/>
          <w:sz w:val="24"/>
          <w:szCs w:val="24"/>
        </w:rPr>
        <w:t xml:space="preserve">при выполнении хозяйственных операций не нарушать требования </w:t>
      </w:r>
      <w:r w:rsidRPr="00E61127">
        <w:rPr>
          <w:rFonts w:ascii="Times New Roman" w:hAnsi="Times New Roman"/>
          <w:sz w:val="24"/>
          <w:szCs w:val="24"/>
        </w:rPr>
        <w:t xml:space="preserve">единого 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Министерства финансов Российской Федерации от 01.12.2010 №157н, а также </w:t>
      </w:r>
      <w:r w:rsidRPr="00E61127">
        <w:rPr>
          <w:rFonts w:ascii="Times New Roman" w:eastAsia="Arial" w:hAnsi="Times New Roman"/>
          <w:sz w:val="24"/>
          <w:szCs w:val="24"/>
        </w:rPr>
        <w:t>требований Федерального закона «О бухгалтерском учете»;</w:t>
      </w:r>
      <w:proofErr w:type="gramEnd"/>
    </w:p>
    <w:p w:rsidR="00795BEE" w:rsidRPr="00B91180" w:rsidRDefault="00795BEE" w:rsidP="00663DE7">
      <w:pPr>
        <w:pStyle w:val="a5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91180">
        <w:rPr>
          <w:rFonts w:ascii="Times New Roman" w:hAnsi="Times New Roman"/>
          <w:sz w:val="24"/>
          <w:szCs w:val="24"/>
        </w:rPr>
        <w:t>в целях недопущения неэффективного расходования бюджетных сре</w:t>
      </w:r>
      <w:proofErr w:type="gramStart"/>
      <w:r w:rsidRPr="00B91180">
        <w:rPr>
          <w:rFonts w:ascii="Times New Roman" w:hAnsi="Times New Roman"/>
          <w:sz w:val="24"/>
          <w:szCs w:val="24"/>
        </w:rPr>
        <w:t>дств св</w:t>
      </w:r>
      <w:proofErr w:type="gramEnd"/>
      <w:r w:rsidRPr="00B91180">
        <w:rPr>
          <w:rFonts w:ascii="Times New Roman" w:hAnsi="Times New Roman"/>
          <w:sz w:val="24"/>
          <w:szCs w:val="24"/>
        </w:rPr>
        <w:t>оевременно предъявлять претензии к подрядчикам за невыполнение договорных обязательств,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180">
        <w:rPr>
          <w:rFonts w:ascii="Times New Roman" w:hAnsi="Times New Roman"/>
          <w:sz w:val="24"/>
          <w:szCs w:val="24"/>
        </w:rPr>
        <w:t>своевременно производить сверку расчетов по уплате налогов</w:t>
      </w:r>
      <w:r>
        <w:rPr>
          <w:rFonts w:ascii="Times New Roman" w:hAnsi="Times New Roman"/>
          <w:sz w:val="24"/>
          <w:szCs w:val="24"/>
        </w:rPr>
        <w:t>;</w:t>
      </w:r>
    </w:p>
    <w:p w:rsidR="00795BEE" w:rsidRPr="000400AE" w:rsidRDefault="00795BEE" w:rsidP="00663DE7">
      <w:pPr>
        <w:pStyle w:val="a5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" w:hAnsi="Times New Roman"/>
          <w:sz w:val="24"/>
          <w:szCs w:val="24"/>
        </w:rPr>
      </w:pPr>
      <w:r w:rsidRPr="000400AE">
        <w:rPr>
          <w:rFonts w:ascii="Times New Roman" w:hAnsi="Times New Roman"/>
          <w:sz w:val="24"/>
          <w:szCs w:val="24"/>
        </w:rPr>
        <w:t xml:space="preserve">в целях недопущения потери доходов от арендной платы усилить </w:t>
      </w:r>
      <w:proofErr w:type="gramStart"/>
      <w:r w:rsidRPr="000400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00AE">
        <w:rPr>
          <w:rFonts w:ascii="Times New Roman" w:hAnsi="Times New Roman"/>
          <w:sz w:val="24"/>
          <w:szCs w:val="24"/>
        </w:rPr>
        <w:t xml:space="preserve"> арендаторами в части  своевременной оплаты арендной платы</w:t>
      </w:r>
      <w:r>
        <w:rPr>
          <w:rFonts w:ascii="Times New Roman" w:hAnsi="Times New Roman"/>
          <w:sz w:val="24"/>
          <w:szCs w:val="24"/>
        </w:rPr>
        <w:t>.</w:t>
      </w:r>
    </w:p>
    <w:p w:rsidR="007A0542" w:rsidRPr="00E31855" w:rsidRDefault="007A0542" w:rsidP="007A0542">
      <w:pPr>
        <w:pStyle w:val="a5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4A9C" w:rsidRPr="00097E0F" w:rsidRDefault="00393805" w:rsidP="00114A9C">
      <w:pPr>
        <w:pStyle w:val="ac"/>
        <w:ind w:left="3900" w:firstLine="348"/>
        <w:jc w:val="both"/>
      </w:pPr>
      <w:r w:rsidRPr="00097E0F">
        <w:rPr>
          <w:b/>
        </w:rPr>
        <w:t>ЗАКЛЮЧЕНИЕ</w:t>
      </w:r>
    </w:p>
    <w:p w:rsidR="008152D6" w:rsidRPr="00097E0F" w:rsidRDefault="00203582" w:rsidP="00C42423">
      <w:pPr>
        <w:pStyle w:val="ac"/>
        <w:ind w:left="360" w:firstLine="336"/>
        <w:jc w:val="both"/>
      </w:pPr>
      <w:r w:rsidRPr="00097E0F">
        <w:t>Оценивая проделанную работу участников бюджетного процесса</w:t>
      </w:r>
      <w:r w:rsidR="00FC7E3E">
        <w:t>,</w:t>
      </w:r>
      <w:r w:rsidRPr="00097E0F">
        <w:t xml:space="preserve"> следует указать</w:t>
      </w:r>
      <w:r w:rsidR="00550AAF" w:rsidRPr="00097E0F">
        <w:t>:</w:t>
      </w:r>
    </w:p>
    <w:p w:rsidR="001F39B1" w:rsidRPr="00E43037" w:rsidRDefault="001F39B1" w:rsidP="00CC4AB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3037">
        <w:rPr>
          <w:rFonts w:ascii="Times New Roman" w:hAnsi="Times New Roman" w:cs="Times New Roman"/>
          <w:sz w:val="24"/>
          <w:szCs w:val="24"/>
        </w:rPr>
        <w:t>Проект решения о бюджете города на 201</w:t>
      </w:r>
      <w:r w:rsidR="00892007" w:rsidRPr="00E43037">
        <w:rPr>
          <w:rFonts w:ascii="Times New Roman" w:hAnsi="Times New Roman" w:cs="Times New Roman"/>
          <w:sz w:val="24"/>
          <w:szCs w:val="24"/>
        </w:rPr>
        <w:t>3</w:t>
      </w:r>
      <w:r w:rsidRPr="00E43037">
        <w:rPr>
          <w:rFonts w:ascii="Times New Roman" w:hAnsi="Times New Roman" w:cs="Times New Roman"/>
          <w:sz w:val="24"/>
          <w:szCs w:val="24"/>
        </w:rPr>
        <w:t xml:space="preserve"> год </w:t>
      </w:r>
      <w:r w:rsidR="00E43037" w:rsidRPr="00E43037">
        <w:rPr>
          <w:rFonts w:ascii="Times New Roman" w:hAnsi="Times New Roman" w:cs="Times New Roman"/>
          <w:sz w:val="24"/>
          <w:szCs w:val="24"/>
        </w:rPr>
        <w:t xml:space="preserve">и на плановый период 2014-2015 годов предоставлен администрацией 09.11.2012 </w:t>
      </w:r>
      <w:r w:rsidRPr="00E43037">
        <w:rPr>
          <w:rFonts w:ascii="Times New Roman" w:hAnsi="Times New Roman" w:cs="Times New Roman"/>
          <w:sz w:val="24"/>
          <w:szCs w:val="24"/>
        </w:rPr>
        <w:t xml:space="preserve">на рассмотрение и утверждение в Думу </w:t>
      </w:r>
      <w:r w:rsidR="00097E0F" w:rsidRPr="00E430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43037">
        <w:rPr>
          <w:rFonts w:ascii="Times New Roman" w:hAnsi="Times New Roman" w:cs="Times New Roman"/>
          <w:sz w:val="24"/>
          <w:szCs w:val="24"/>
        </w:rPr>
        <w:t>требование</w:t>
      </w:r>
      <w:r w:rsidR="00097E0F" w:rsidRPr="00E43037">
        <w:rPr>
          <w:rFonts w:ascii="Times New Roman" w:hAnsi="Times New Roman" w:cs="Times New Roman"/>
          <w:sz w:val="24"/>
          <w:szCs w:val="24"/>
        </w:rPr>
        <w:t xml:space="preserve">м </w:t>
      </w:r>
      <w:r w:rsidRPr="00E43037">
        <w:rPr>
          <w:rFonts w:ascii="Times New Roman" w:hAnsi="Times New Roman" w:cs="Times New Roman"/>
          <w:sz w:val="24"/>
          <w:szCs w:val="24"/>
        </w:rPr>
        <w:t>пункта 3.1 «Положения о бюджетном устройстве и бюджетном процессе в городе Покачи», утвержденного решением Думы №76 от 26.06.2008 года (в ред</w:t>
      </w:r>
      <w:r w:rsidR="00E43037" w:rsidRPr="00E43037">
        <w:rPr>
          <w:rFonts w:ascii="Times New Roman" w:hAnsi="Times New Roman" w:cs="Times New Roman"/>
          <w:sz w:val="24"/>
          <w:szCs w:val="24"/>
        </w:rPr>
        <w:t>акции от</w:t>
      </w:r>
      <w:r w:rsidRPr="00E43037">
        <w:rPr>
          <w:rFonts w:ascii="Times New Roman" w:hAnsi="Times New Roman" w:cs="Times New Roman"/>
          <w:sz w:val="24"/>
          <w:szCs w:val="24"/>
        </w:rPr>
        <w:t xml:space="preserve"> 2</w:t>
      </w:r>
      <w:r w:rsidR="00E43037" w:rsidRPr="00E43037">
        <w:rPr>
          <w:rFonts w:ascii="Times New Roman" w:hAnsi="Times New Roman" w:cs="Times New Roman"/>
          <w:sz w:val="24"/>
          <w:szCs w:val="24"/>
        </w:rPr>
        <w:t>9</w:t>
      </w:r>
      <w:r w:rsidRPr="00E43037">
        <w:rPr>
          <w:rFonts w:ascii="Times New Roman" w:hAnsi="Times New Roman" w:cs="Times New Roman"/>
          <w:sz w:val="24"/>
          <w:szCs w:val="24"/>
        </w:rPr>
        <w:t>.</w:t>
      </w:r>
      <w:r w:rsidR="00E43037" w:rsidRPr="00E43037">
        <w:rPr>
          <w:rFonts w:ascii="Times New Roman" w:hAnsi="Times New Roman" w:cs="Times New Roman"/>
          <w:sz w:val="24"/>
          <w:szCs w:val="24"/>
        </w:rPr>
        <w:t>02</w:t>
      </w:r>
      <w:r w:rsidRPr="00E43037">
        <w:rPr>
          <w:rFonts w:ascii="Times New Roman" w:hAnsi="Times New Roman" w:cs="Times New Roman"/>
          <w:sz w:val="24"/>
          <w:szCs w:val="24"/>
        </w:rPr>
        <w:t>.201</w:t>
      </w:r>
      <w:r w:rsidR="00E43037" w:rsidRPr="00E43037">
        <w:rPr>
          <w:rFonts w:ascii="Times New Roman" w:hAnsi="Times New Roman" w:cs="Times New Roman"/>
          <w:sz w:val="24"/>
          <w:szCs w:val="24"/>
        </w:rPr>
        <w:t>2</w:t>
      </w:r>
      <w:r w:rsidRPr="00E430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0876" w:rsidRPr="00E43037" w:rsidRDefault="00670876" w:rsidP="00B77740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outlineLvl w:val="1"/>
      </w:pPr>
      <w:proofErr w:type="gramStart"/>
      <w:r w:rsidRPr="00E43037">
        <w:t>Годовой отчет «Об исполнении бюджета города Покачи за 201</w:t>
      </w:r>
      <w:r w:rsidR="00E43037" w:rsidRPr="00E43037">
        <w:t>3</w:t>
      </w:r>
      <w:r w:rsidRPr="00E43037">
        <w:t xml:space="preserve"> год» представлен Администрацией города Покачи для проведения внешней проверки в </w:t>
      </w:r>
      <w:r w:rsidR="00E43037" w:rsidRPr="00E43037">
        <w:t>к</w:t>
      </w:r>
      <w:r w:rsidRPr="00E43037">
        <w:t xml:space="preserve">онтрольно-счетную палату </w:t>
      </w:r>
      <w:r w:rsidR="00E43037" w:rsidRPr="00E43037">
        <w:t>31</w:t>
      </w:r>
      <w:r w:rsidRPr="00E43037">
        <w:t>.03.2013 года, то есть в срок, установленный Бюджетным Кодексом Российской Федерации, пунктом 5 статьи 6 «Положения о бюджетном устройстве и бюджетном процессе в городе Покачи», утвержденного решением Думы города от 22.02.2013 № 3.</w:t>
      </w:r>
      <w:proofErr w:type="gramEnd"/>
    </w:p>
    <w:p w:rsidR="00CF356E" w:rsidRPr="00E43037" w:rsidRDefault="00CF356E" w:rsidP="00CF356E">
      <w:pPr>
        <w:pStyle w:val="ac"/>
        <w:numPr>
          <w:ilvl w:val="0"/>
          <w:numId w:val="27"/>
        </w:numPr>
        <w:jc w:val="both"/>
      </w:pPr>
      <w:r w:rsidRPr="00E43037">
        <w:t>Проект решения  «Об исполнении бюджета города Покачи за 201</w:t>
      </w:r>
      <w:r w:rsidR="00E43037" w:rsidRPr="00E43037">
        <w:t>3</w:t>
      </w:r>
      <w:r w:rsidRPr="00E43037">
        <w:t xml:space="preserve"> год» представлен Администрацией города Покачи 2</w:t>
      </w:r>
      <w:r w:rsidR="00074297" w:rsidRPr="00E43037">
        <w:t>9</w:t>
      </w:r>
      <w:r w:rsidRPr="00E43037">
        <w:t>.04.201</w:t>
      </w:r>
      <w:r w:rsidR="00E43037" w:rsidRPr="00E43037">
        <w:t>4</w:t>
      </w:r>
      <w:r w:rsidR="007402F7" w:rsidRPr="00E43037">
        <w:t xml:space="preserve"> </w:t>
      </w:r>
      <w:r w:rsidRPr="00E43037">
        <w:t xml:space="preserve">года, то есть в срок, установленный Бюджетным Кодексом РФ, пунктом </w:t>
      </w:r>
      <w:r w:rsidR="007402F7" w:rsidRPr="00E43037">
        <w:t>1 статьи 7</w:t>
      </w:r>
      <w:r w:rsidRPr="00E43037">
        <w:t xml:space="preserve"> «Положения о бюджетном устройстве и бюджетном процессе в городе Покачи», утвержденного Решением Думы города от </w:t>
      </w:r>
      <w:r w:rsidR="007402F7" w:rsidRPr="00E43037">
        <w:t>22.02.2013 № 3.</w:t>
      </w:r>
    </w:p>
    <w:p w:rsidR="002B2BC3" w:rsidRPr="00B13111" w:rsidRDefault="00CC4AB2" w:rsidP="00F55A5F">
      <w:pPr>
        <w:pStyle w:val="ac"/>
        <w:numPr>
          <w:ilvl w:val="0"/>
          <w:numId w:val="27"/>
        </w:numPr>
        <w:jc w:val="both"/>
        <w:rPr>
          <w:bCs/>
          <w:iCs/>
        </w:rPr>
      </w:pPr>
      <w:r w:rsidRPr="00E43037">
        <w:rPr>
          <w:bCs/>
          <w:iCs/>
        </w:rPr>
        <w:t xml:space="preserve">Контрольно-счетной  палатой в период с </w:t>
      </w:r>
      <w:r w:rsidR="00E43037">
        <w:rPr>
          <w:bCs/>
          <w:iCs/>
        </w:rPr>
        <w:t>31</w:t>
      </w:r>
      <w:r w:rsidRPr="00E43037">
        <w:rPr>
          <w:bCs/>
          <w:iCs/>
        </w:rPr>
        <w:t xml:space="preserve">-го марта по </w:t>
      </w:r>
      <w:r w:rsidR="00E43037">
        <w:rPr>
          <w:bCs/>
          <w:iCs/>
        </w:rPr>
        <w:t>30</w:t>
      </w:r>
      <w:r w:rsidRPr="00E43037">
        <w:rPr>
          <w:bCs/>
          <w:iCs/>
        </w:rPr>
        <w:t xml:space="preserve"> апреля в соответствии </w:t>
      </w:r>
      <w:r w:rsidRPr="00E43037">
        <w:t xml:space="preserve">со статьей 264.4 Бюджетного </w:t>
      </w:r>
      <w:r w:rsidR="006079E9">
        <w:t>к</w:t>
      </w:r>
      <w:r w:rsidRPr="00E43037">
        <w:t>одекса Р</w:t>
      </w:r>
      <w:r w:rsidR="006079E9">
        <w:t xml:space="preserve">оссийской </w:t>
      </w:r>
      <w:r w:rsidRPr="00E43037">
        <w:t>Ф</w:t>
      </w:r>
      <w:r w:rsidR="006079E9">
        <w:t>едерации</w:t>
      </w:r>
      <w:r w:rsidRPr="00E43037">
        <w:t xml:space="preserve">, </w:t>
      </w:r>
      <w:r w:rsidR="00686ADA" w:rsidRPr="00E43037">
        <w:t>статьей 7</w:t>
      </w:r>
      <w:r w:rsidRPr="00E43037">
        <w:t xml:space="preserve"> «Положения о бюджетном устройстве и бюджетном процессе в городе Покачи</w:t>
      </w:r>
      <w:r w:rsidRPr="00E43037">
        <w:rPr>
          <w:b/>
          <w:bCs/>
        </w:rPr>
        <w:t>»,</w:t>
      </w:r>
      <w:r w:rsidRPr="00E43037">
        <w:t xml:space="preserve"> утвержденного Решением Думы города от </w:t>
      </w:r>
      <w:r w:rsidR="00686ADA" w:rsidRPr="00E43037">
        <w:t>22.02.2013 № 3</w:t>
      </w:r>
      <w:r w:rsidRPr="00E43037">
        <w:rPr>
          <w:bCs/>
          <w:iCs/>
        </w:rPr>
        <w:t xml:space="preserve"> была проведена</w:t>
      </w:r>
      <w:r w:rsidR="00575BF6" w:rsidRPr="00E43037">
        <w:rPr>
          <w:bCs/>
          <w:iCs/>
        </w:rPr>
        <w:t xml:space="preserve"> внешняя</w:t>
      </w:r>
      <w:r w:rsidRPr="00E43037">
        <w:rPr>
          <w:bCs/>
          <w:iCs/>
        </w:rPr>
        <w:t xml:space="preserve"> проверка бюджетной отчетности</w:t>
      </w:r>
      <w:r w:rsidR="00AC4DE6">
        <w:rPr>
          <w:bCs/>
          <w:iCs/>
        </w:rPr>
        <w:t>, п</w:t>
      </w:r>
      <w:r w:rsidR="00DF6683" w:rsidRPr="00E43037">
        <w:rPr>
          <w:bCs/>
          <w:iCs/>
        </w:rPr>
        <w:t>о результатам</w:t>
      </w:r>
      <w:r w:rsidR="00E43037" w:rsidRPr="00E43037">
        <w:rPr>
          <w:bCs/>
          <w:iCs/>
        </w:rPr>
        <w:t xml:space="preserve"> </w:t>
      </w:r>
      <w:r w:rsidR="00FC7E3E" w:rsidRPr="00E43037">
        <w:rPr>
          <w:bCs/>
          <w:iCs/>
        </w:rPr>
        <w:t>которой</w:t>
      </w:r>
      <w:r w:rsidR="00E43037" w:rsidRPr="00E43037">
        <w:rPr>
          <w:bCs/>
          <w:iCs/>
        </w:rPr>
        <w:t xml:space="preserve"> </w:t>
      </w:r>
      <w:r w:rsidR="00191E0D" w:rsidRPr="00E43037">
        <w:rPr>
          <w:bCs/>
          <w:iCs/>
        </w:rPr>
        <w:t>дано положительно</w:t>
      </w:r>
      <w:r w:rsidR="00FC7E3E" w:rsidRPr="00E43037">
        <w:rPr>
          <w:bCs/>
          <w:iCs/>
        </w:rPr>
        <w:t>е</w:t>
      </w:r>
      <w:r w:rsidR="00191E0D" w:rsidRPr="00E43037">
        <w:rPr>
          <w:bCs/>
          <w:iCs/>
        </w:rPr>
        <w:t xml:space="preserve"> заключение. Установлено, что</w:t>
      </w:r>
      <w:r w:rsidR="00E43037" w:rsidRPr="00E43037">
        <w:rPr>
          <w:bCs/>
          <w:iCs/>
        </w:rPr>
        <w:t xml:space="preserve"> </w:t>
      </w:r>
      <w:r w:rsidR="00575BF6" w:rsidRPr="00E43037">
        <w:rPr>
          <w:bCs/>
          <w:iCs/>
        </w:rPr>
        <w:t xml:space="preserve">бюджетная отчетность главных администраторов бюджетных </w:t>
      </w:r>
      <w:r w:rsidR="00575BF6" w:rsidRPr="00E43037">
        <w:rPr>
          <w:bCs/>
          <w:iCs/>
        </w:rPr>
        <w:lastRenderedPageBreak/>
        <w:t>средств города Покачи достоверна. Сведения, содержащиеся в отчете об исполнении бюджета города</w:t>
      </w:r>
      <w:r w:rsidR="006079E9">
        <w:rPr>
          <w:bCs/>
          <w:iCs/>
        </w:rPr>
        <w:t>,</w:t>
      </w:r>
      <w:r w:rsidR="00575BF6" w:rsidRPr="00E43037">
        <w:rPr>
          <w:bCs/>
          <w:iCs/>
        </w:rPr>
        <w:t xml:space="preserve"> имеют достаточную полноту. В целом, участники  бюджетного процесса города Покачи совершали хозяйственные операции в рамках действующего </w:t>
      </w:r>
      <w:r w:rsidR="00575BF6" w:rsidRPr="00B13111">
        <w:rPr>
          <w:bCs/>
          <w:iCs/>
        </w:rPr>
        <w:t>законодательства и решений Думы  города Покачи, касающихся бюджета города</w:t>
      </w:r>
      <w:r w:rsidR="00B63877" w:rsidRPr="00B13111">
        <w:rPr>
          <w:bCs/>
          <w:iCs/>
        </w:rPr>
        <w:t>.</w:t>
      </w:r>
    </w:p>
    <w:p w:rsidR="00B63877" w:rsidRPr="00B13111" w:rsidRDefault="00B63877" w:rsidP="00B63877">
      <w:pPr>
        <w:autoSpaceDE w:val="0"/>
        <w:autoSpaceDN w:val="0"/>
        <w:adjustRightInd w:val="0"/>
        <w:spacing w:after="0" w:line="240" w:lineRule="auto"/>
        <w:ind w:left="36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3111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746B15" w:rsidRPr="00B13111">
        <w:rPr>
          <w:rFonts w:ascii="Times New Roman" w:hAnsi="Times New Roman" w:cs="Times New Roman"/>
          <w:sz w:val="24"/>
          <w:szCs w:val="24"/>
        </w:rPr>
        <w:t>8</w:t>
      </w:r>
      <w:r w:rsidR="00B13111" w:rsidRPr="00B13111">
        <w:rPr>
          <w:rFonts w:ascii="Times New Roman" w:hAnsi="Times New Roman" w:cs="Times New Roman"/>
          <w:sz w:val="24"/>
          <w:szCs w:val="24"/>
        </w:rPr>
        <w:t xml:space="preserve"> </w:t>
      </w:r>
      <w:r w:rsidRPr="00B13111">
        <w:rPr>
          <w:rFonts w:ascii="Times New Roman" w:hAnsi="Times New Roman" w:cs="Times New Roman"/>
          <w:sz w:val="24"/>
          <w:szCs w:val="24"/>
        </w:rPr>
        <w:t>«Положения о бюджетном устройстве и бюджетном процессе в городе Покачи»</w:t>
      </w:r>
      <w:r w:rsidRPr="00B131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13111">
        <w:rPr>
          <w:rFonts w:ascii="Times New Roman" w:hAnsi="Times New Roman" w:cs="Times New Roman"/>
          <w:sz w:val="24"/>
          <w:szCs w:val="24"/>
        </w:rPr>
        <w:t xml:space="preserve"> утвержденного Решением Думы города от </w:t>
      </w:r>
      <w:r w:rsidR="00746B15" w:rsidRPr="00B13111">
        <w:rPr>
          <w:rFonts w:ascii="Times New Roman" w:hAnsi="Times New Roman" w:cs="Times New Roman"/>
        </w:rPr>
        <w:t>22.02.2013 № 3</w:t>
      </w:r>
      <w:r w:rsidRPr="00B13111">
        <w:rPr>
          <w:rFonts w:ascii="Times New Roman" w:hAnsi="Times New Roman" w:cs="Times New Roman"/>
          <w:sz w:val="24"/>
          <w:szCs w:val="24"/>
        </w:rPr>
        <w:t>, деятельность органа, исполняющего бюджет, оценивается как соответствующая требованиям действующего бюджетного законодательства.</w:t>
      </w:r>
    </w:p>
    <w:p w:rsidR="006D7167" w:rsidRPr="00B13111" w:rsidRDefault="00AC4DE6" w:rsidP="009A544D">
      <w:pPr>
        <w:pStyle w:val="ac"/>
        <w:ind w:left="360" w:firstLine="348"/>
        <w:jc w:val="both"/>
        <w:rPr>
          <w:b/>
        </w:rPr>
      </w:pPr>
      <w:r>
        <w:rPr>
          <w:b/>
        </w:rPr>
        <w:t>На основании того</w:t>
      </w:r>
      <w:r w:rsidR="00575BF6" w:rsidRPr="00B13111">
        <w:rPr>
          <w:b/>
        </w:rPr>
        <w:t>, что требования бюджетного законодательства по исполнению бюджета города Покачи за 201</w:t>
      </w:r>
      <w:r w:rsidR="00B13111" w:rsidRPr="00B13111">
        <w:rPr>
          <w:b/>
        </w:rPr>
        <w:t>3</w:t>
      </w:r>
      <w:r w:rsidR="00575BF6" w:rsidRPr="00B13111">
        <w:rPr>
          <w:b/>
        </w:rPr>
        <w:t xml:space="preserve"> год выполнены</w:t>
      </w:r>
      <w:r w:rsidR="007A0542" w:rsidRPr="00B13111">
        <w:rPr>
          <w:b/>
        </w:rPr>
        <w:t>,</w:t>
      </w:r>
      <w:r w:rsidR="00575BF6" w:rsidRPr="00B13111">
        <w:rPr>
          <w:b/>
        </w:rPr>
        <w:t xml:space="preserve"> к</w:t>
      </w:r>
      <w:r w:rsidR="006D7167" w:rsidRPr="00B13111">
        <w:rPr>
          <w:b/>
        </w:rPr>
        <w:t>онтрольно-счетная палата рекомендует депутатам</w:t>
      </w:r>
      <w:r w:rsidR="00053DAE" w:rsidRPr="00B13111">
        <w:rPr>
          <w:b/>
        </w:rPr>
        <w:t>, р</w:t>
      </w:r>
      <w:r w:rsidR="006F349A" w:rsidRPr="00B13111">
        <w:rPr>
          <w:b/>
        </w:rPr>
        <w:t xml:space="preserve">уководствуясь правом, данным  </w:t>
      </w:r>
      <w:r w:rsidR="00053DAE" w:rsidRPr="00B13111">
        <w:rPr>
          <w:b/>
        </w:rPr>
        <w:t xml:space="preserve">представительным органам </w:t>
      </w:r>
      <w:r w:rsidR="006F349A" w:rsidRPr="00B13111">
        <w:rPr>
          <w:b/>
        </w:rPr>
        <w:t>п.2 ст</w:t>
      </w:r>
      <w:r w:rsidR="0085678F" w:rsidRPr="00B13111">
        <w:rPr>
          <w:b/>
        </w:rPr>
        <w:t>.</w:t>
      </w:r>
      <w:r w:rsidR="006F349A" w:rsidRPr="00B13111">
        <w:rPr>
          <w:b/>
        </w:rPr>
        <w:t xml:space="preserve"> 265 Бюджетного кодекса Российской Федерации, </w:t>
      </w:r>
      <w:r w:rsidR="006D7167" w:rsidRPr="00B13111">
        <w:rPr>
          <w:b/>
        </w:rPr>
        <w:t>утвердить  отчет об исполнении бюджета города Покачи за 201</w:t>
      </w:r>
      <w:r w:rsidR="00B13111" w:rsidRPr="00B13111">
        <w:rPr>
          <w:b/>
        </w:rPr>
        <w:t>3</w:t>
      </w:r>
      <w:r w:rsidR="006D7167" w:rsidRPr="00B13111">
        <w:rPr>
          <w:b/>
        </w:rPr>
        <w:t xml:space="preserve"> год. </w:t>
      </w:r>
    </w:p>
    <w:p w:rsidR="00C0081F" w:rsidRPr="00B13111" w:rsidRDefault="00C0081F" w:rsidP="00543355">
      <w:pPr>
        <w:pStyle w:val="ac"/>
        <w:ind w:firstLine="708"/>
        <w:jc w:val="both"/>
      </w:pPr>
    </w:p>
    <w:p w:rsidR="002229AA" w:rsidRPr="00B13111" w:rsidRDefault="00053DAE" w:rsidP="002534E3">
      <w:pPr>
        <w:pStyle w:val="ac"/>
        <w:jc w:val="both"/>
      </w:pPr>
      <w:r w:rsidRPr="00B13111">
        <w:t>Председатель КСП</w:t>
      </w:r>
      <w:r w:rsidRPr="00B13111">
        <w:tab/>
      </w:r>
      <w:r w:rsidRPr="00B13111">
        <w:tab/>
      </w:r>
      <w:r w:rsidRPr="00B13111">
        <w:tab/>
      </w:r>
      <w:r w:rsidRPr="00B13111">
        <w:tab/>
      </w:r>
      <w:r w:rsidRPr="00B13111">
        <w:tab/>
      </w:r>
      <w:r w:rsidRPr="00B13111">
        <w:tab/>
      </w:r>
      <w:r w:rsidRPr="00B13111">
        <w:tab/>
      </w:r>
      <w:r w:rsidRPr="00B13111">
        <w:tab/>
      </w:r>
      <w:r w:rsidRPr="00B13111">
        <w:tab/>
        <w:t>Н.М.</w:t>
      </w:r>
      <w:r w:rsidR="00B13111">
        <w:t xml:space="preserve"> </w:t>
      </w:r>
      <w:r w:rsidRPr="00B13111">
        <w:t>Сумина</w:t>
      </w:r>
    </w:p>
    <w:p w:rsidR="002229AA" w:rsidRPr="00892007" w:rsidRDefault="002229AA" w:rsidP="00C0081F">
      <w:pPr>
        <w:pStyle w:val="ac"/>
        <w:jc w:val="both"/>
        <w:rPr>
          <w:color w:val="FF0000"/>
        </w:rPr>
      </w:pPr>
    </w:p>
    <w:sectPr w:rsidR="002229AA" w:rsidRPr="00892007" w:rsidSect="00A779F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F0" w:rsidRDefault="006660F0" w:rsidP="00BA0C7A">
      <w:pPr>
        <w:spacing w:after="0" w:line="240" w:lineRule="auto"/>
      </w:pPr>
      <w:r>
        <w:separator/>
      </w:r>
    </w:p>
  </w:endnote>
  <w:endnote w:type="continuationSeparator" w:id="0">
    <w:p w:rsidR="006660F0" w:rsidRDefault="006660F0" w:rsidP="00B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1188"/>
      <w:docPartObj>
        <w:docPartGallery w:val="Page Numbers (Bottom of Page)"/>
        <w:docPartUnique/>
      </w:docPartObj>
    </w:sdtPr>
    <w:sdtEndPr/>
    <w:sdtContent>
      <w:p w:rsidR="006079E9" w:rsidRDefault="006660F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9E9" w:rsidRDefault="006079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F0" w:rsidRDefault="006660F0" w:rsidP="00BA0C7A">
      <w:pPr>
        <w:spacing w:after="0" w:line="240" w:lineRule="auto"/>
      </w:pPr>
      <w:r>
        <w:separator/>
      </w:r>
    </w:p>
  </w:footnote>
  <w:footnote w:type="continuationSeparator" w:id="0">
    <w:p w:rsidR="006660F0" w:rsidRDefault="006660F0" w:rsidP="00BA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709E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3160EE4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6">
    <w:nsid w:val="04B41484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76C3F"/>
    <w:multiLevelType w:val="hybridMultilevel"/>
    <w:tmpl w:val="A0184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D72055"/>
    <w:multiLevelType w:val="hybridMultilevel"/>
    <w:tmpl w:val="497C73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347C44"/>
    <w:multiLevelType w:val="multilevel"/>
    <w:tmpl w:val="710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9026D3"/>
    <w:multiLevelType w:val="multilevel"/>
    <w:tmpl w:val="BC685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750198F"/>
    <w:multiLevelType w:val="hybridMultilevel"/>
    <w:tmpl w:val="4ECA3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07DF8"/>
    <w:multiLevelType w:val="multilevel"/>
    <w:tmpl w:val="90BA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F63B4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31418"/>
    <w:multiLevelType w:val="multilevel"/>
    <w:tmpl w:val="710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B5F2C"/>
    <w:multiLevelType w:val="multilevel"/>
    <w:tmpl w:val="710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6569D"/>
    <w:multiLevelType w:val="hybridMultilevel"/>
    <w:tmpl w:val="FC3C345A"/>
    <w:lvl w:ilvl="0" w:tplc="C692800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272F05"/>
    <w:multiLevelType w:val="multilevel"/>
    <w:tmpl w:val="50B0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B3F22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B66B5"/>
    <w:multiLevelType w:val="hybridMultilevel"/>
    <w:tmpl w:val="F1BC70C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C63FA6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A5E8F"/>
    <w:multiLevelType w:val="hybridMultilevel"/>
    <w:tmpl w:val="D8DE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E156B"/>
    <w:multiLevelType w:val="multilevel"/>
    <w:tmpl w:val="974CC4D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3AB614B2"/>
    <w:multiLevelType w:val="multilevel"/>
    <w:tmpl w:val="2D80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BB557E"/>
    <w:multiLevelType w:val="hybridMultilevel"/>
    <w:tmpl w:val="0DA2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E2B6C"/>
    <w:multiLevelType w:val="hybridMultilevel"/>
    <w:tmpl w:val="EF36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64845"/>
    <w:multiLevelType w:val="multilevel"/>
    <w:tmpl w:val="62E66D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44B15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A62E86"/>
    <w:multiLevelType w:val="hybridMultilevel"/>
    <w:tmpl w:val="992A50F2"/>
    <w:lvl w:ilvl="0" w:tplc="4E14A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962EF3"/>
    <w:multiLevelType w:val="hybridMultilevel"/>
    <w:tmpl w:val="C1322B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1A154EB"/>
    <w:multiLevelType w:val="multilevel"/>
    <w:tmpl w:val="13E0D5C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543D6A7A"/>
    <w:multiLevelType w:val="hybridMultilevel"/>
    <w:tmpl w:val="414E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24A61"/>
    <w:multiLevelType w:val="multilevel"/>
    <w:tmpl w:val="5034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A6436F"/>
    <w:multiLevelType w:val="multilevel"/>
    <w:tmpl w:val="90BA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8B3209"/>
    <w:multiLevelType w:val="multilevel"/>
    <w:tmpl w:val="5E76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B01D5D"/>
    <w:multiLevelType w:val="hybridMultilevel"/>
    <w:tmpl w:val="A6407234"/>
    <w:lvl w:ilvl="0" w:tplc="874E1FF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EA3B8F"/>
    <w:multiLevelType w:val="multilevel"/>
    <w:tmpl w:val="43CA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1E5726"/>
    <w:multiLevelType w:val="hybridMultilevel"/>
    <w:tmpl w:val="A15E0B64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B73664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DF006E"/>
    <w:multiLevelType w:val="hybridMultilevel"/>
    <w:tmpl w:val="58645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DB37BC"/>
    <w:multiLevelType w:val="multilevel"/>
    <w:tmpl w:val="C158D1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4B0248"/>
    <w:multiLevelType w:val="hybridMultilevel"/>
    <w:tmpl w:val="8BFA87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6E6562BB"/>
    <w:multiLevelType w:val="multilevel"/>
    <w:tmpl w:val="B19C28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897E2B"/>
    <w:multiLevelType w:val="multilevel"/>
    <w:tmpl w:val="7B10A6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F101BB"/>
    <w:multiLevelType w:val="hybridMultilevel"/>
    <w:tmpl w:val="02D88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5330679"/>
    <w:multiLevelType w:val="multilevel"/>
    <w:tmpl w:val="0D2A8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970443"/>
    <w:multiLevelType w:val="hybridMultilevel"/>
    <w:tmpl w:val="43D8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C7794"/>
    <w:multiLevelType w:val="hybridMultilevel"/>
    <w:tmpl w:val="147AD6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48">
    <w:nsid w:val="7D2D7A2C"/>
    <w:multiLevelType w:val="hybridMultilevel"/>
    <w:tmpl w:val="8446DF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EFC4C73"/>
    <w:multiLevelType w:val="multilevel"/>
    <w:tmpl w:val="3F18F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6C15E8"/>
    <w:multiLevelType w:val="hybridMultilevel"/>
    <w:tmpl w:val="3BD4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703D81"/>
    <w:multiLevelType w:val="hybridMultilevel"/>
    <w:tmpl w:val="8E420CE4"/>
    <w:lvl w:ilvl="0" w:tplc="DAE2B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34"/>
  </w:num>
  <w:num w:numId="5">
    <w:abstractNumId w:val="32"/>
  </w:num>
  <w:num w:numId="6">
    <w:abstractNumId w:val="36"/>
  </w:num>
  <w:num w:numId="7">
    <w:abstractNumId w:val="49"/>
  </w:num>
  <w:num w:numId="8">
    <w:abstractNumId w:val="26"/>
  </w:num>
  <w:num w:numId="9">
    <w:abstractNumId w:val="40"/>
  </w:num>
  <w:num w:numId="10">
    <w:abstractNumId w:val="42"/>
  </w:num>
  <w:num w:numId="11">
    <w:abstractNumId w:val="23"/>
  </w:num>
  <w:num w:numId="12">
    <w:abstractNumId w:val="50"/>
  </w:num>
  <w:num w:numId="13">
    <w:abstractNumId w:val="46"/>
  </w:num>
  <w:num w:numId="14">
    <w:abstractNumId w:val="20"/>
  </w:num>
  <w:num w:numId="15">
    <w:abstractNumId w:val="6"/>
  </w:num>
  <w:num w:numId="16">
    <w:abstractNumId w:val="27"/>
  </w:num>
  <w:num w:numId="17">
    <w:abstractNumId w:val="13"/>
  </w:num>
  <w:num w:numId="18">
    <w:abstractNumId w:val="45"/>
  </w:num>
  <w:num w:numId="19">
    <w:abstractNumId w:val="43"/>
  </w:num>
  <w:num w:numId="20">
    <w:abstractNumId w:val="12"/>
  </w:num>
  <w:num w:numId="21">
    <w:abstractNumId w:val="15"/>
  </w:num>
  <w:num w:numId="22">
    <w:abstractNumId w:val="14"/>
  </w:num>
  <w:num w:numId="23">
    <w:abstractNumId w:val="38"/>
  </w:num>
  <w:num w:numId="24">
    <w:abstractNumId w:val="33"/>
  </w:num>
  <w:num w:numId="25">
    <w:abstractNumId w:val="25"/>
  </w:num>
  <w:num w:numId="26">
    <w:abstractNumId w:val="31"/>
  </w:num>
  <w:num w:numId="27">
    <w:abstractNumId w:val="7"/>
  </w:num>
  <w:num w:numId="28">
    <w:abstractNumId w:val="28"/>
  </w:num>
  <w:num w:numId="29">
    <w:abstractNumId w:val="48"/>
  </w:num>
  <w:num w:numId="30">
    <w:abstractNumId w:val="8"/>
  </w:num>
  <w:num w:numId="31">
    <w:abstractNumId w:val="19"/>
  </w:num>
  <w:num w:numId="32">
    <w:abstractNumId w:val="29"/>
  </w:num>
  <w:num w:numId="33">
    <w:abstractNumId w:val="17"/>
  </w:num>
  <w:num w:numId="34">
    <w:abstractNumId w:val="21"/>
  </w:num>
  <w:num w:numId="35">
    <w:abstractNumId w:val="10"/>
  </w:num>
  <w:num w:numId="36">
    <w:abstractNumId w:val="22"/>
  </w:num>
  <w:num w:numId="37">
    <w:abstractNumId w:val="30"/>
  </w:num>
  <w:num w:numId="38">
    <w:abstractNumId w:val="24"/>
  </w:num>
  <w:num w:numId="39">
    <w:abstractNumId w:val="11"/>
  </w:num>
  <w:num w:numId="40">
    <w:abstractNumId w:val="16"/>
  </w:num>
  <w:num w:numId="41">
    <w:abstractNumId w:val="44"/>
  </w:num>
  <w:num w:numId="42">
    <w:abstractNumId w:val="41"/>
  </w:num>
  <w:num w:numId="43">
    <w:abstractNumId w:val="47"/>
  </w:num>
  <w:num w:numId="44">
    <w:abstractNumId w:val="37"/>
  </w:num>
  <w:num w:numId="45">
    <w:abstractNumId w:val="35"/>
  </w:num>
  <w:num w:numId="46">
    <w:abstractNumId w:val="51"/>
  </w:num>
  <w:num w:numId="47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D95"/>
    <w:rsid w:val="00002882"/>
    <w:rsid w:val="00005E2A"/>
    <w:rsid w:val="00005EA4"/>
    <w:rsid w:val="00024CE4"/>
    <w:rsid w:val="00030DE3"/>
    <w:rsid w:val="00030DF1"/>
    <w:rsid w:val="00032B8E"/>
    <w:rsid w:val="000408D4"/>
    <w:rsid w:val="00043705"/>
    <w:rsid w:val="00046DEF"/>
    <w:rsid w:val="00053DAE"/>
    <w:rsid w:val="00062C62"/>
    <w:rsid w:val="0006397E"/>
    <w:rsid w:val="00064A12"/>
    <w:rsid w:val="00065E69"/>
    <w:rsid w:val="000708D1"/>
    <w:rsid w:val="00074297"/>
    <w:rsid w:val="00074AF7"/>
    <w:rsid w:val="0007522C"/>
    <w:rsid w:val="0008193F"/>
    <w:rsid w:val="000820CB"/>
    <w:rsid w:val="00082BEC"/>
    <w:rsid w:val="00087E56"/>
    <w:rsid w:val="00091099"/>
    <w:rsid w:val="00091383"/>
    <w:rsid w:val="000946A2"/>
    <w:rsid w:val="00094B1B"/>
    <w:rsid w:val="000958EA"/>
    <w:rsid w:val="00097421"/>
    <w:rsid w:val="00097E0F"/>
    <w:rsid w:val="000A09BB"/>
    <w:rsid w:val="000A2B1A"/>
    <w:rsid w:val="000A70BB"/>
    <w:rsid w:val="000B1FC8"/>
    <w:rsid w:val="000B2CF3"/>
    <w:rsid w:val="000B5BB3"/>
    <w:rsid w:val="000B6922"/>
    <w:rsid w:val="000C39A7"/>
    <w:rsid w:val="000C3FA1"/>
    <w:rsid w:val="000D2FB5"/>
    <w:rsid w:val="000D5064"/>
    <w:rsid w:val="000E3C12"/>
    <w:rsid w:val="000E4F61"/>
    <w:rsid w:val="000E60FB"/>
    <w:rsid w:val="000F2919"/>
    <w:rsid w:val="000F6AC3"/>
    <w:rsid w:val="000F6E8A"/>
    <w:rsid w:val="000F7140"/>
    <w:rsid w:val="000F7584"/>
    <w:rsid w:val="00100BE6"/>
    <w:rsid w:val="001019AA"/>
    <w:rsid w:val="00102459"/>
    <w:rsid w:val="0010271F"/>
    <w:rsid w:val="00104E19"/>
    <w:rsid w:val="00114A9C"/>
    <w:rsid w:val="00124290"/>
    <w:rsid w:val="0012590E"/>
    <w:rsid w:val="00127BE0"/>
    <w:rsid w:val="00130119"/>
    <w:rsid w:val="00134E42"/>
    <w:rsid w:val="00137016"/>
    <w:rsid w:val="00137252"/>
    <w:rsid w:val="00140B5A"/>
    <w:rsid w:val="001440E8"/>
    <w:rsid w:val="00162F71"/>
    <w:rsid w:val="00167B6A"/>
    <w:rsid w:val="00175643"/>
    <w:rsid w:val="001802ED"/>
    <w:rsid w:val="00187E36"/>
    <w:rsid w:val="00190A31"/>
    <w:rsid w:val="00191E0D"/>
    <w:rsid w:val="00194C4D"/>
    <w:rsid w:val="0019711F"/>
    <w:rsid w:val="0019744A"/>
    <w:rsid w:val="001A0F21"/>
    <w:rsid w:val="001A13D9"/>
    <w:rsid w:val="001B03CD"/>
    <w:rsid w:val="001C0EFD"/>
    <w:rsid w:val="001C2AB2"/>
    <w:rsid w:val="001C31B0"/>
    <w:rsid w:val="001C3C59"/>
    <w:rsid w:val="001C4CC0"/>
    <w:rsid w:val="001D20C9"/>
    <w:rsid w:val="001D3408"/>
    <w:rsid w:val="001D4426"/>
    <w:rsid w:val="001E206E"/>
    <w:rsid w:val="001E2F35"/>
    <w:rsid w:val="001F11DF"/>
    <w:rsid w:val="001F39B1"/>
    <w:rsid w:val="00200617"/>
    <w:rsid w:val="00203582"/>
    <w:rsid w:val="00203F14"/>
    <w:rsid w:val="002064E6"/>
    <w:rsid w:val="00207FB5"/>
    <w:rsid w:val="00211D36"/>
    <w:rsid w:val="002133BB"/>
    <w:rsid w:val="00222644"/>
    <w:rsid w:val="002229AA"/>
    <w:rsid w:val="00223F9E"/>
    <w:rsid w:val="002328A5"/>
    <w:rsid w:val="00233B3E"/>
    <w:rsid w:val="002347CE"/>
    <w:rsid w:val="00244379"/>
    <w:rsid w:val="00246C35"/>
    <w:rsid w:val="00247100"/>
    <w:rsid w:val="00247DE3"/>
    <w:rsid w:val="002508F4"/>
    <w:rsid w:val="00251841"/>
    <w:rsid w:val="00251C68"/>
    <w:rsid w:val="002534E3"/>
    <w:rsid w:val="00254B6C"/>
    <w:rsid w:val="00256382"/>
    <w:rsid w:val="002605F4"/>
    <w:rsid w:val="00261529"/>
    <w:rsid w:val="00261A50"/>
    <w:rsid w:val="00273A54"/>
    <w:rsid w:val="00273A8D"/>
    <w:rsid w:val="0028160C"/>
    <w:rsid w:val="0028561F"/>
    <w:rsid w:val="00285728"/>
    <w:rsid w:val="002862E4"/>
    <w:rsid w:val="00286A28"/>
    <w:rsid w:val="00290458"/>
    <w:rsid w:val="00290C8A"/>
    <w:rsid w:val="00295B3F"/>
    <w:rsid w:val="00296613"/>
    <w:rsid w:val="002A1BA6"/>
    <w:rsid w:val="002A2482"/>
    <w:rsid w:val="002A75F4"/>
    <w:rsid w:val="002B1EA4"/>
    <w:rsid w:val="002B2354"/>
    <w:rsid w:val="002B2BC3"/>
    <w:rsid w:val="002B5446"/>
    <w:rsid w:val="002B77EC"/>
    <w:rsid w:val="002C2D45"/>
    <w:rsid w:val="002C4432"/>
    <w:rsid w:val="002C4DAB"/>
    <w:rsid w:val="002D197C"/>
    <w:rsid w:val="002D1AF6"/>
    <w:rsid w:val="002D2073"/>
    <w:rsid w:val="002D338B"/>
    <w:rsid w:val="002D380E"/>
    <w:rsid w:val="002D5A2C"/>
    <w:rsid w:val="002D6162"/>
    <w:rsid w:val="002E28FD"/>
    <w:rsid w:val="002E4AD4"/>
    <w:rsid w:val="002E72CA"/>
    <w:rsid w:val="002E797E"/>
    <w:rsid w:val="002F0932"/>
    <w:rsid w:val="002F2418"/>
    <w:rsid w:val="002F411D"/>
    <w:rsid w:val="002F6224"/>
    <w:rsid w:val="002F651A"/>
    <w:rsid w:val="002F71F8"/>
    <w:rsid w:val="00302FB5"/>
    <w:rsid w:val="00304217"/>
    <w:rsid w:val="003109FC"/>
    <w:rsid w:val="00310DF8"/>
    <w:rsid w:val="00316426"/>
    <w:rsid w:val="00317431"/>
    <w:rsid w:val="00321F64"/>
    <w:rsid w:val="003235EB"/>
    <w:rsid w:val="00326731"/>
    <w:rsid w:val="003272C1"/>
    <w:rsid w:val="00330964"/>
    <w:rsid w:val="00331E9C"/>
    <w:rsid w:val="003340FC"/>
    <w:rsid w:val="00334CC1"/>
    <w:rsid w:val="00335612"/>
    <w:rsid w:val="00340821"/>
    <w:rsid w:val="00340A87"/>
    <w:rsid w:val="00343F9A"/>
    <w:rsid w:val="00344129"/>
    <w:rsid w:val="00344851"/>
    <w:rsid w:val="00345B87"/>
    <w:rsid w:val="00347769"/>
    <w:rsid w:val="00351A9E"/>
    <w:rsid w:val="0035267B"/>
    <w:rsid w:val="00353B23"/>
    <w:rsid w:val="0035422E"/>
    <w:rsid w:val="00364F67"/>
    <w:rsid w:val="00365EC0"/>
    <w:rsid w:val="00366AE8"/>
    <w:rsid w:val="00371CB2"/>
    <w:rsid w:val="00377AC8"/>
    <w:rsid w:val="00377E2D"/>
    <w:rsid w:val="0038206A"/>
    <w:rsid w:val="00383634"/>
    <w:rsid w:val="003921EE"/>
    <w:rsid w:val="00392E07"/>
    <w:rsid w:val="00393805"/>
    <w:rsid w:val="003977F6"/>
    <w:rsid w:val="003A166D"/>
    <w:rsid w:val="003A588C"/>
    <w:rsid w:val="003B5102"/>
    <w:rsid w:val="003B78D0"/>
    <w:rsid w:val="003C1E59"/>
    <w:rsid w:val="003C22FA"/>
    <w:rsid w:val="003C3450"/>
    <w:rsid w:val="003C4534"/>
    <w:rsid w:val="003C4656"/>
    <w:rsid w:val="003D6D41"/>
    <w:rsid w:val="003E2425"/>
    <w:rsid w:val="003E4C78"/>
    <w:rsid w:val="003E5706"/>
    <w:rsid w:val="003F352B"/>
    <w:rsid w:val="003F3662"/>
    <w:rsid w:val="003F4910"/>
    <w:rsid w:val="003F56D3"/>
    <w:rsid w:val="003F58B6"/>
    <w:rsid w:val="003F6716"/>
    <w:rsid w:val="00402FFE"/>
    <w:rsid w:val="004030C2"/>
    <w:rsid w:val="0040608D"/>
    <w:rsid w:val="00407920"/>
    <w:rsid w:val="00407F1C"/>
    <w:rsid w:val="0041610B"/>
    <w:rsid w:val="00416FD4"/>
    <w:rsid w:val="0041715E"/>
    <w:rsid w:val="0042116E"/>
    <w:rsid w:val="004223BF"/>
    <w:rsid w:val="00423CE9"/>
    <w:rsid w:val="00427045"/>
    <w:rsid w:val="00432DD5"/>
    <w:rsid w:val="004354A9"/>
    <w:rsid w:val="004354B9"/>
    <w:rsid w:val="0044599B"/>
    <w:rsid w:val="004511AD"/>
    <w:rsid w:val="0045133A"/>
    <w:rsid w:val="0045481C"/>
    <w:rsid w:val="004637A8"/>
    <w:rsid w:val="00465F6B"/>
    <w:rsid w:val="004672E8"/>
    <w:rsid w:val="00467EA5"/>
    <w:rsid w:val="00470D55"/>
    <w:rsid w:val="004759C5"/>
    <w:rsid w:val="00476000"/>
    <w:rsid w:val="0048681F"/>
    <w:rsid w:val="004871DB"/>
    <w:rsid w:val="004907DE"/>
    <w:rsid w:val="00491256"/>
    <w:rsid w:val="004A32EC"/>
    <w:rsid w:val="004A61E2"/>
    <w:rsid w:val="004B0762"/>
    <w:rsid w:val="004B5448"/>
    <w:rsid w:val="004B56AE"/>
    <w:rsid w:val="004B609F"/>
    <w:rsid w:val="004B7AD8"/>
    <w:rsid w:val="004B7BB9"/>
    <w:rsid w:val="004C12CA"/>
    <w:rsid w:val="004C2EF8"/>
    <w:rsid w:val="004C7003"/>
    <w:rsid w:val="004C7A90"/>
    <w:rsid w:val="004E2F40"/>
    <w:rsid w:val="004E2FD2"/>
    <w:rsid w:val="004F18E4"/>
    <w:rsid w:val="004F2CA1"/>
    <w:rsid w:val="004F53D9"/>
    <w:rsid w:val="004F5C7D"/>
    <w:rsid w:val="00500AA8"/>
    <w:rsid w:val="00500ECF"/>
    <w:rsid w:val="00505CB1"/>
    <w:rsid w:val="0050643D"/>
    <w:rsid w:val="005066E8"/>
    <w:rsid w:val="005124DB"/>
    <w:rsid w:val="0051360C"/>
    <w:rsid w:val="005203BA"/>
    <w:rsid w:val="00521157"/>
    <w:rsid w:val="0052269F"/>
    <w:rsid w:val="00524538"/>
    <w:rsid w:val="005260E6"/>
    <w:rsid w:val="00530078"/>
    <w:rsid w:val="00533C9F"/>
    <w:rsid w:val="005352CC"/>
    <w:rsid w:val="00536460"/>
    <w:rsid w:val="00543355"/>
    <w:rsid w:val="00543797"/>
    <w:rsid w:val="0054392F"/>
    <w:rsid w:val="00545CFE"/>
    <w:rsid w:val="00550AAF"/>
    <w:rsid w:val="005510EF"/>
    <w:rsid w:val="005541B0"/>
    <w:rsid w:val="00561572"/>
    <w:rsid w:val="00562CCA"/>
    <w:rsid w:val="0056532C"/>
    <w:rsid w:val="00565F46"/>
    <w:rsid w:val="005704B2"/>
    <w:rsid w:val="00570F7E"/>
    <w:rsid w:val="00575BF6"/>
    <w:rsid w:val="00582E37"/>
    <w:rsid w:val="00586A84"/>
    <w:rsid w:val="00587EE8"/>
    <w:rsid w:val="00590064"/>
    <w:rsid w:val="00591390"/>
    <w:rsid w:val="00593D5B"/>
    <w:rsid w:val="005943EC"/>
    <w:rsid w:val="005943F7"/>
    <w:rsid w:val="005A3725"/>
    <w:rsid w:val="005B0B84"/>
    <w:rsid w:val="005B1710"/>
    <w:rsid w:val="005B3D47"/>
    <w:rsid w:val="005B7BAF"/>
    <w:rsid w:val="005C0A8F"/>
    <w:rsid w:val="005C411D"/>
    <w:rsid w:val="005C626A"/>
    <w:rsid w:val="005C67B0"/>
    <w:rsid w:val="005D0E45"/>
    <w:rsid w:val="005D4B65"/>
    <w:rsid w:val="005E4151"/>
    <w:rsid w:val="005F01F2"/>
    <w:rsid w:val="005F2FEC"/>
    <w:rsid w:val="005F7EFA"/>
    <w:rsid w:val="00600718"/>
    <w:rsid w:val="00604037"/>
    <w:rsid w:val="0060472F"/>
    <w:rsid w:val="0060493D"/>
    <w:rsid w:val="00604FE8"/>
    <w:rsid w:val="006079E9"/>
    <w:rsid w:val="00607FA3"/>
    <w:rsid w:val="006101E5"/>
    <w:rsid w:val="00611A3D"/>
    <w:rsid w:val="00621B6F"/>
    <w:rsid w:val="006224AB"/>
    <w:rsid w:val="00624A8D"/>
    <w:rsid w:val="00627082"/>
    <w:rsid w:val="00627BDF"/>
    <w:rsid w:val="00633051"/>
    <w:rsid w:val="00636A02"/>
    <w:rsid w:val="00642C36"/>
    <w:rsid w:val="00643D2E"/>
    <w:rsid w:val="00646D80"/>
    <w:rsid w:val="006472DB"/>
    <w:rsid w:val="0065302D"/>
    <w:rsid w:val="006560F1"/>
    <w:rsid w:val="006603FF"/>
    <w:rsid w:val="00663DE7"/>
    <w:rsid w:val="006660F0"/>
    <w:rsid w:val="00670876"/>
    <w:rsid w:val="00671873"/>
    <w:rsid w:val="006720FC"/>
    <w:rsid w:val="00674B1B"/>
    <w:rsid w:val="00677226"/>
    <w:rsid w:val="00682BF0"/>
    <w:rsid w:val="00685866"/>
    <w:rsid w:val="00686ADA"/>
    <w:rsid w:val="00687309"/>
    <w:rsid w:val="00693417"/>
    <w:rsid w:val="00694590"/>
    <w:rsid w:val="00697C2F"/>
    <w:rsid w:val="006A5425"/>
    <w:rsid w:val="006B2A97"/>
    <w:rsid w:val="006B5025"/>
    <w:rsid w:val="006C17FD"/>
    <w:rsid w:val="006D31C9"/>
    <w:rsid w:val="006D3AC9"/>
    <w:rsid w:val="006D5DEE"/>
    <w:rsid w:val="006D7167"/>
    <w:rsid w:val="006D772B"/>
    <w:rsid w:val="006E240A"/>
    <w:rsid w:val="006E3988"/>
    <w:rsid w:val="006E4B81"/>
    <w:rsid w:val="006E643D"/>
    <w:rsid w:val="006F349A"/>
    <w:rsid w:val="006F4615"/>
    <w:rsid w:val="006F7D8D"/>
    <w:rsid w:val="007015F4"/>
    <w:rsid w:val="0070282D"/>
    <w:rsid w:val="00703FE5"/>
    <w:rsid w:val="007127AF"/>
    <w:rsid w:val="0072263B"/>
    <w:rsid w:val="0072355A"/>
    <w:rsid w:val="00726952"/>
    <w:rsid w:val="00733880"/>
    <w:rsid w:val="00733BB0"/>
    <w:rsid w:val="00733FC2"/>
    <w:rsid w:val="00736B99"/>
    <w:rsid w:val="00737C8C"/>
    <w:rsid w:val="007402F7"/>
    <w:rsid w:val="0074162F"/>
    <w:rsid w:val="007423B9"/>
    <w:rsid w:val="00742E68"/>
    <w:rsid w:val="0074688C"/>
    <w:rsid w:val="00746B15"/>
    <w:rsid w:val="00747460"/>
    <w:rsid w:val="00747CD9"/>
    <w:rsid w:val="00755A63"/>
    <w:rsid w:val="00763220"/>
    <w:rsid w:val="0076374D"/>
    <w:rsid w:val="00764A97"/>
    <w:rsid w:val="00764B39"/>
    <w:rsid w:val="0076566C"/>
    <w:rsid w:val="00767BAA"/>
    <w:rsid w:val="00770E06"/>
    <w:rsid w:val="00771133"/>
    <w:rsid w:val="007718AD"/>
    <w:rsid w:val="00776A86"/>
    <w:rsid w:val="00777A5B"/>
    <w:rsid w:val="00782211"/>
    <w:rsid w:val="007831F2"/>
    <w:rsid w:val="0078507B"/>
    <w:rsid w:val="00787B30"/>
    <w:rsid w:val="00791388"/>
    <w:rsid w:val="007915B9"/>
    <w:rsid w:val="00794A50"/>
    <w:rsid w:val="00795BEE"/>
    <w:rsid w:val="00795DA1"/>
    <w:rsid w:val="007A0542"/>
    <w:rsid w:val="007A4525"/>
    <w:rsid w:val="007B7A83"/>
    <w:rsid w:val="007C4A77"/>
    <w:rsid w:val="007D04FD"/>
    <w:rsid w:val="007D08AB"/>
    <w:rsid w:val="007D0C28"/>
    <w:rsid w:val="007D1C24"/>
    <w:rsid w:val="007D2F46"/>
    <w:rsid w:val="007E64CF"/>
    <w:rsid w:val="007E663D"/>
    <w:rsid w:val="007E68A7"/>
    <w:rsid w:val="007F003F"/>
    <w:rsid w:val="007F5414"/>
    <w:rsid w:val="007F7393"/>
    <w:rsid w:val="007F7AA5"/>
    <w:rsid w:val="00801973"/>
    <w:rsid w:val="00804F6E"/>
    <w:rsid w:val="008050EB"/>
    <w:rsid w:val="00811C2E"/>
    <w:rsid w:val="00814330"/>
    <w:rsid w:val="00814A8E"/>
    <w:rsid w:val="008152D6"/>
    <w:rsid w:val="0081696D"/>
    <w:rsid w:val="00824035"/>
    <w:rsid w:val="008265D6"/>
    <w:rsid w:val="00832AD1"/>
    <w:rsid w:val="008349D3"/>
    <w:rsid w:val="00835A80"/>
    <w:rsid w:val="00836FFF"/>
    <w:rsid w:val="00841BA9"/>
    <w:rsid w:val="00841D7C"/>
    <w:rsid w:val="00854A01"/>
    <w:rsid w:val="0085678F"/>
    <w:rsid w:val="008611F9"/>
    <w:rsid w:val="008612A5"/>
    <w:rsid w:val="008631A4"/>
    <w:rsid w:val="008637A3"/>
    <w:rsid w:val="00865AAD"/>
    <w:rsid w:val="008673CE"/>
    <w:rsid w:val="00867C4E"/>
    <w:rsid w:val="00867F70"/>
    <w:rsid w:val="008704BF"/>
    <w:rsid w:val="00870A1A"/>
    <w:rsid w:val="00871D63"/>
    <w:rsid w:val="00874108"/>
    <w:rsid w:val="00874E15"/>
    <w:rsid w:val="00877DDF"/>
    <w:rsid w:val="00881C25"/>
    <w:rsid w:val="00884B69"/>
    <w:rsid w:val="0088578F"/>
    <w:rsid w:val="00886D27"/>
    <w:rsid w:val="00892007"/>
    <w:rsid w:val="008967F2"/>
    <w:rsid w:val="008A373A"/>
    <w:rsid w:val="008A4328"/>
    <w:rsid w:val="008A7142"/>
    <w:rsid w:val="008B0901"/>
    <w:rsid w:val="008B4926"/>
    <w:rsid w:val="008B4E27"/>
    <w:rsid w:val="008C08A6"/>
    <w:rsid w:val="008C3470"/>
    <w:rsid w:val="008C77AA"/>
    <w:rsid w:val="008C7F34"/>
    <w:rsid w:val="008C7FE7"/>
    <w:rsid w:val="008D1FBA"/>
    <w:rsid w:val="008D2291"/>
    <w:rsid w:val="008D2D94"/>
    <w:rsid w:val="008E79A2"/>
    <w:rsid w:val="008F4D5A"/>
    <w:rsid w:val="00900ECC"/>
    <w:rsid w:val="00901729"/>
    <w:rsid w:val="0090275A"/>
    <w:rsid w:val="00906C46"/>
    <w:rsid w:val="00906FBD"/>
    <w:rsid w:val="00912B79"/>
    <w:rsid w:val="00915317"/>
    <w:rsid w:val="00916CD9"/>
    <w:rsid w:val="0092000B"/>
    <w:rsid w:val="00920A31"/>
    <w:rsid w:val="009214F4"/>
    <w:rsid w:val="009219E8"/>
    <w:rsid w:val="00922210"/>
    <w:rsid w:val="00923E48"/>
    <w:rsid w:val="00925C55"/>
    <w:rsid w:val="00925CB5"/>
    <w:rsid w:val="00926F87"/>
    <w:rsid w:val="00936E1C"/>
    <w:rsid w:val="00937C33"/>
    <w:rsid w:val="00940BC1"/>
    <w:rsid w:val="0094137C"/>
    <w:rsid w:val="009459FE"/>
    <w:rsid w:val="00946DD7"/>
    <w:rsid w:val="00951AF6"/>
    <w:rsid w:val="00954045"/>
    <w:rsid w:val="009570C7"/>
    <w:rsid w:val="009579E2"/>
    <w:rsid w:val="00962E2F"/>
    <w:rsid w:val="00965C79"/>
    <w:rsid w:val="00967AAC"/>
    <w:rsid w:val="00970D13"/>
    <w:rsid w:val="0097156E"/>
    <w:rsid w:val="00980D80"/>
    <w:rsid w:val="00982D95"/>
    <w:rsid w:val="00984ED9"/>
    <w:rsid w:val="00990071"/>
    <w:rsid w:val="009901C6"/>
    <w:rsid w:val="00992930"/>
    <w:rsid w:val="00992ADD"/>
    <w:rsid w:val="009954B6"/>
    <w:rsid w:val="00996F63"/>
    <w:rsid w:val="009A0977"/>
    <w:rsid w:val="009A2D43"/>
    <w:rsid w:val="009A3DB0"/>
    <w:rsid w:val="009A4E44"/>
    <w:rsid w:val="009A544D"/>
    <w:rsid w:val="009B1532"/>
    <w:rsid w:val="009B1C45"/>
    <w:rsid w:val="009B1D29"/>
    <w:rsid w:val="009B395B"/>
    <w:rsid w:val="009B3A48"/>
    <w:rsid w:val="009B79B2"/>
    <w:rsid w:val="009C35D5"/>
    <w:rsid w:val="009C3AE3"/>
    <w:rsid w:val="009C66BE"/>
    <w:rsid w:val="009D0267"/>
    <w:rsid w:val="009D2FE9"/>
    <w:rsid w:val="009D3A70"/>
    <w:rsid w:val="009D4761"/>
    <w:rsid w:val="009D5A6B"/>
    <w:rsid w:val="009E16A9"/>
    <w:rsid w:val="009E30C8"/>
    <w:rsid w:val="009E509E"/>
    <w:rsid w:val="009E5AE6"/>
    <w:rsid w:val="009E6600"/>
    <w:rsid w:val="009F17F4"/>
    <w:rsid w:val="009F7368"/>
    <w:rsid w:val="00A0136D"/>
    <w:rsid w:val="00A02C63"/>
    <w:rsid w:val="00A07015"/>
    <w:rsid w:val="00A11562"/>
    <w:rsid w:val="00A15352"/>
    <w:rsid w:val="00A164DC"/>
    <w:rsid w:val="00A16E49"/>
    <w:rsid w:val="00A213BD"/>
    <w:rsid w:val="00A214C6"/>
    <w:rsid w:val="00A21B93"/>
    <w:rsid w:val="00A2500E"/>
    <w:rsid w:val="00A3403B"/>
    <w:rsid w:val="00A37A53"/>
    <w:rsid w:val="00A406BB"/>
    <w:rsid w:val="00A5530A"/>
    <w:rsid w:val="00A6178E"/>
    <w:rsid w:val="00A62292"/>
    <w:rsid w:val="00A62CEB"/>
    <w:rsid w:val="00A664BE"/>
    <w:rsid w:val="00A6656D"/>
    <w:rsid w:val="00A6747B"/>
    <w:rsid w:val="00A742D3"/>
    <w:rsid w:val="00A76550"/>
    <w:rsid w:val="00A77565"/>
    <w:rsid w:val="00A779F7"/>
    <w:rsid w:val="00A82AFC"/>
    <w:rsid w:val="00A85C28"/>
    <w:rsid w:val="00A867A3"/>
    <w:rsid w:val="00A9067D"/>
    <w:rsid w:val="00AB1427"/>
    <w:rsid w:val="00AB338D"/>
    <w:rsid w:val="00AB52C5"/>
    <w:rsid w:val="00AC265A"/>
    <w:rsid w:val="00AC4DE6"/>
    <w:rsid w:val="00AD31BF"/>
    <w:rsid w:val="00AD5A60"/>
    <w:rsid w:val="00AE129E"/>
    <w:rsid w:val="00AE2B36"/>
    <w:rsid w:val="00AF2AA1"/>
    <w:rsid w:val="00B00B8A"/>
    <w:rsid w:val="00B01C18"/>
    <w:rsid w:val="00B032BB"/>
    <w:rsid w:val="00B05005"/>
    <w:rsid w:val="00B06793"/>
    <w:rsid w:val="00B13111"/>
    <w:rsid w:val="00B133DD"/>
    <w:rsid w:val="00B13A61"/>
    <w:rsid w:val="00B144EA"/>
    <w:rsid w:val="00B16520"/>
    <w:rsid w:val="00B16D85"/>
    <w:rsid w:val="00B17666"/>
    <w:rsid w:val="00B17913"/>
    <w:rsid w:val="00B17D9C"/>
    <w:rsid w:val="00B20880"/>
    <w:rsid w:val="00B253E3"/>
    <w:rsid w:val="00B30D4C"/>
    <w:rsid w:val="00B30E05"/>
    <w:rsid w:val="00B3526F"/>
    <w:rsid w:val="00B35D6C"/>
    <w:rsid w:val="00B40D70"/>
    <w:rsid w:val="00B411F6"/>
    <w:rsid w:val="00B43CA8"/>
    <w:rsid w:val="00B43F39"/>
    <w:rsid w:val="00B45046"/>
    <w:rsid w:val="00B51D48"/>
    <w:rsid w:val="00B53108"/>
    <w:rsid w:val="00B53C3B"/>
    <w:rsid w:val="00B61540"/>
    <w:rsid w:val="00B62CED"/>
    <w:rsid w:val="00B63877"/>
    <w:rsid w:val="00B64611"/>
    <w:rsid w:val="00B64B86"/>
    <w:rsid w:val="00B664E1"/>
    <w:rsid w:val="00B66AFF"/>
    <w:rsid w:val="00B66F5A"/>
    <w:rsid w:val="00B6786D"/>
    <w:rsid w:val="00B75630"/>
    <w:rsid w:val="00B77740"/>
    <w:rsid w:val="00B803E4"/>
    <w:rsid w:val="00B849AF"/>
    <w:rsid w:val="00B87FF1"/>
    <w:rsid w:val="00B9042E"/>
    <w:rsid w:val="00B91179"/>
    <w:rsid w:val="00B9136C"/>
    <w:rsid w:val="00B93191"/>
    <w:rsid w:val="00B963D4"/>
    <w:rsid w:val="00BA01D5"/>
    <w:rsid w:val="00BA0C7A"/>
    <w:rsid w:val="00BA252B"/>
    <w:rsid w:val="00BA5E89"/>
    <w:rsid w:val="00BA63E5"/>
    <w:rsid w:val="00BB4DEE"/>
    <w:rsid w:val="00BB77C4"/>
    <w:rsid w:val="00BC216D"/>
    <w:rsid w:val="00BC25A4"/>
    <w:rsid w:val="00BC2831"/>
    <w:rsid w:val="00BD0F90"/>
    <w:rsid w:val="00BD4A85"/>
    <w:rsid w:val="00BD4E64"/>
    <w:rsid w:val="00BD638E"/>
    <w:rsid w:val="00C0016F"/>
    <w:rsid w:val="00C0081F"/>
    <w:rsid w:val="00C0221D"/>
    <w:rsid w:val="00C02C03"/>
    <w:rsid w:val="00C06A1F"/>
    <w:rsid w:val="00C06B77"/>
    <w:rsid w:val="00C1111E"/>
    <w:rsid w:val="00C22057"/>
    <w:rsid w:val="00C2432D"/>
    <w:rsid w:val="00C2664F"/>
    <w:rsid w:val="00C26D15"/>
    <w:rsid w:val="00C3035D"/>
    <w:rsid w:val="00C358DB"/>
    <w:rsid w:val="00C369CE"/>
    <w:rsid w:val="00C41C9C"/>
    <w:rsid w:val="00C42199"/>
    <w:rsid w:val="00C42423"/>
    <w:rsid w:val="00C428E1"/>
    <w:rsid w:val="00C54252"/>
    <w:rsid w:val="00C54466"/>
    <w:rsid w:val="00C57F91"/>
    <w:rsid w:val="00C64798"/>
    <w:rsid w:val="00C66DE2"/>
    <w:rsid w:val="00C827F4"/>
    <w:rsid w:val="00C866B5"/>
    <w:rsid w:val="00C9190A"/>
    <w:rsid w:val="00CA1435"/>
    <w:rsid w:val="00CA238C"/>
    <w:rsid w:val="00CA38BF"/>
    <w:rsid w:val="00CA473B"/>
    <w:rsid w:val="00CB5522"/>
    <w:rsid w:val="00CB5DDA"/>
    <w:rsid w:val="00CB7DBC"/>
    <w:rsid w:val="00CC20CB"/>
    <w:rsid w:val="00CC3197"/>
    <w:rsid w:val="00CC3E69"/>
    <w:rsid w:val="00CC4AB2"/>
    <w:rsid w:val="00CD5C7B"/>
    <w:rsid w:val="00CD661B"/>
    <w:rsid w:val="00CD7765"/>
    <w:rsid w:val="00CE476B"/>
    <w:rsid w:val="00CE61BA"/>
    <w:rsid w:val="00CF1629"/>
    <w:rsid w:val="00CF3140"/>
    <w:rsid w:val="00CF356E"/>
    <w:rsid w:val="00D029D6"/>
    <w:rsid w:val="00D03348"/>
    <w:rsid w:val="00D03D4C"/>
    <w:rsid w:val="00D0416E"/>
    <w:rsid w:val="00D04AAF"/>
    <w:rsid w:val="00D04C75"/>
    <w:rsid w:val="00D04FF6"/>
    <w:rsid w:val="00D0599F"/>
    <w:rsid w:val="00D05A2D"/>
    <w:rsid w:val="00D1054E"/>
    <w:rsid w:val="00D1114F"/>
    <w:rsid w:val="00D11E8C"/>
    <w:rsid w:val="00D13A1A"/>
    <w:rsid w:val="00D140CB"/>
    <w:rsid w:val="00D1660C"/>
    <w:rsid w:val="00D20210"/>
    <w:rsid w:val="00D2166B"/>
    <w:rsid w:val="00D23786"/>
    <w:rsid w:val="00D242DE"/>
    <w:rsid w:val="00D26540"/>
    <w:rsid w:val="00D35751"/>
    <w:rsid w:val="00D40C6A"/>
    <w:rsid w:val="00D42787"/>
    <w:rsid w:val="00D47132"/>
    <w:rsid w:val="00D54452"/>
    <w:rsid w:val="00D5695D"/>
    <w:rsid w:val="00D60332"/>
    <w:rsid w:val="00D615A3"/>
    <w:rsid w:val="00D61B00"/>
    <w:rsid w:val="00D635BA"/>
    <w:rsid w:val="00D65FBF"/>
    <w:rsid w:val="00D660FC"/>
    <w:rsid w:val="00D71A61"/>
    <w:rsid w:val="00D72E7B"/>
    <w:rsid w:val="00D74446"/>
    <w:rsid w:val="00D747E3"/>
    <w:rsid w:val="00D76312"/>
    <w:rsid w:val="00D8085C"/>
    <w:rsid w:val="00D8186A"/>
    <w:rsid w:val="00D85A13"/>
    <w:rsid w:val="00D940B1"/>
    <w:rsid w:val="00D94F01"/>
    <w:rsid w:val="00D97B29"/>
    <w:rsid w:val="00D97D81"/>
    <w:rsid w:val="00DA10D6"/>
    <w:rsid w:val="00DA1BC5"/>
    <w:rsid w:val="00DA5DD2"/>
    <w:rsid w:val="00DA5F84"/>
    <w:rsid w:val="00DA721B"/>
    <w:rsid w:val="00DB17CA"/>
    <w:rsid w:val="00DB2D05"/>
    <w:rsid w:val="00DC0026"/>
    <w:rsid w:val="00DC1655"/>
    <w:rsid w:val="00DC5060"/>
    <w:rsid w:val="00DC5D49"/>
    <w:rsid w:val="00DC6806"/>
    <w:rsid w:val="00DD1E15"/>
    <w:rsid w:val="00DD3889"/>
    <w:rsid w:val="00DD3D66"/>
    <w:rsid w:val="00DD4A6B"/>
    <w:rsid w:val="00DD59BF"/>
    <w:rsid w:val="00DD5EE8"/>
    <w:rsid w:val="00DD6448"/>
    <w:rsid w:val="00DD7510"/>
    <w:rsid w:val="00DE1D71"/>
    <w:rsid w:val="00DF4AF6"/>
    <w:rsid w:val="00DF6683"/>
    <w:rsid w:val="00DF7FE3"/>
    <w:rsid w:val="00E00829"/>
    <w:rsid w:val="00E009A0"/>
    <w:rsid w:val="00E00AFB"/>
    <w:rsid w:val="00E059F4"/>
    <w:rsid w:val="00E12E8E"/>
    <w:rsid w:val="00E151E4"/>
    <w:rsid w:val="00E15DD7"/>
    <w:rsid w:val="00E2031A"/>
    <w:rsid w:val="00E2296B"/>
    <w:rsid w:val="00E2506F"/>
    <w:rsid w:val="00E30173"/>
    <w:rsid w:val="00E31855"/>
    <w:rsid w:val="00E31997"/>
    <w:rsid w:val="00E32D50"/>
    <w:rsid w:val="00E33E57"/>
    <w:rsid w:val="00E3553F"/>
    <w:rsid w:val="00E41249"/>
    <w:rsid w:val="00E43037"/>
    <w:rsid w:val="00E45F00"/>
    <w:rsid w:val="00E464F5"/>
    <w:rsid w:val="00E533F9"/>
    <w:rsid w:val="00E56546"/>
    <w:rsid w:val="00E60DED"/>
    <w:rsid w:val="00E64692"/>
    <w:rsid w:val="00E66022"/>
    <w:rsid w:val="00E67383"/>
    <w:rsid w:val="00E67A8D"/>
    <w:rsid w:val="00E80E71"/>
    <w:rsid w:val="00E84EF9"/>
    <w:rsid w:val="00E86B0D"/>
    <w:rsid w:val="00E93CE6"/>
    <w:rsid w:val="00E96C89"/>
    <w:rsid w:val="00EA17FB"/>
    <w:rsid w:val="00EB132B"/>
    <w:rsid w:val="00EB1A51"/>
    <w:rsid w:val="00EB4DD4"/>
    <w:rsid w:val="00EB5672"/>
    <w:rsid w:val="00EB5CA4"/>
    <w:rsid w:val="00EB5D7E"/>
    <w:rsid w:val="00EB6235"/>
    <w:rsid w:val="00EC2373"/>
    <w:rsid w:val="00EC5153"/>
    <w:rsid w:val="00ED2FAB"/>
    <w:rsid w:val="00ED431C"/>
    <w:rsid w:val="00ED6AB9"/>
    <w:rsid w:val="00EE3043"/>
    <w:rsid w:val="00EE36BC"/>
    <w:rsid w:val="00EF4BC8"/>
    <w:rsid w:val="00EF62EE"/>
    <w:rsid w:val="00EF66EE"/>
    <w:rsid w:val="00F01BDB"/>
    <w:rsid w:val="00F03379"/>
    <w:rsid w:val="00F1114F"/>
    <w:rsid w:val="00F1258F"/>
    <w:rsid w:val="00F169C9"/>
    <w:rsid w:val="00F20684"/>
    <w:rsid w:val="00F2068B"/>
    <w:rsid w:val="00F22144"/>
    <w:rsid w:val="00F332A4"/>
    <w:rsid w:val="00F34965"/>
    <w:rsid w:val="00F35BA9"/>
    <w:rsid w:val="00F40EEF"/>
    <w:rsid w:val="00F41E36"/>
    <w:rsid w:val="00F47CAC"/>
    <w:rsid w:val="00F535A3"/>
    <w:rsid w:val="00F55A5F"/>
    <w:rsid w:val="00F56207"/>
    <w:rsid w:val="00F62C8E"/>
    <w:rsid w:val="00F63DAD"/>
    <w:rsid w:val="00F67D2B"/>
    <w:rsid w:val="00F737B8"/>
    <w:rsid w:val="00F765F3"/>
    <w:rsid w:val="00F84951"/>
    <w:rsid w:val="00F87731"/>
    <w:rsid w:val="00F943BB"/>
    <w:rsid w:val="00FA0232"/>
    <w:rsid w:val="00FA0248"/>
    <w:rsid w:val="00FA0369"/>
    <w:rsid w:val="00FA0B25"/>
    <w:rsid w:val="00FA5597"/>
    <w:rsid w:val="00FA7290"/>
    <w:rsid w:val="00FB3ABE"/>
    <w:rsid w:val="00FB4EA7"/>
    <w:rsid w:val="00FB4ECB"/>
    <w:rsid w:val="00FB712F"/>
    <w:rsid w:val="00FC06A1"/>
    <w:rsid w:val="00FC06B9"/>
    <w:rsid w:val="00FC549D"/>
    <w:rsid w:val="00FC7E3E"/>
    <w:rsid w:val="00FD10E2"/>
    <w:rsid w:val="00FD2166"/>
    <w:rsid w:val="00FD4674"/>
    <w:rsid w:val="00FD5933"/>
    <w:rsid w:val="00FD7D39"/>
    <w:rsid w:val="00FE3AE5"/>
    <w:rsid w:val="00FF2C20"/>
    <w:rsid w:val="00FF3B81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D"/>
  </w:style>
  <w:style w:type="paragraph" w:styleId="1">
    <w:name w:val="heading 1"/>
    <w:basedOn w:val="a"/>
    <w:next w:val="a"/>
    <w:link w:val="10"/>
    <w:uiPriority w:val="9"/>
    <w:qFormat/>
    <w:rsid w:val="00A1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2D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43EC"/>
    <w:pPr>
      <w:ind w:left="720"/>
      <w:contextualSpacing/>
    </w:pPr>
  </w:style>
  <w:style w:type="table" w:styleId="a6">
    <w:name w:val="Table Grid"/>
    <w:basedOn w:val="a1"/>
    <w:uiPriority w:val="59"/>
    <w:rsid w:val="0067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C7A"/>
  </w:style>
  <w:style w:type="paragraph" w:styleId="a9">
    <w:name w:val="footer"/>
    <w:basedOn w:val="a"/>
    <w:link w:val="aa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062C62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x-clear">
    <w:name w:val="bx-clear"/>
    <w:basedOn w:val="a"/>
    <w:rsid w:val="0007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semiHidden/>
    <w:rsid w:val="00AD5A6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semiHidden/>
    <w:rsid w:val="00AD5A6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AD5A6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8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67A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5510EF"/>
  </w:style>
  <w:style w:type="paragraph" w:customStyle="1" w:styleId="21">
    <w:name w:val="Основной текст с отступом 21"/>
    <w:basedOn w:val="a"/>
    <w:rsid w:val="000B692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поступлений собственных доходов города Покачи (в рублях)</c:v>
                </c:pt>
              </c:strCache>
            </c:strRef>
          </c:tx>
          <c:spPr>
            <a:gradFill>
              <a:gsLst>
                <a:gs pos="0">
                  <a:schemeClr val="tx2">
                    <a:lumMod val="75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path path="circle">
                  <a:fillToRect l="100000" t="100000"/>
                </a:path>
                <a:tileRect r="-100000" b="-100000"/>
              </a:gradFill>
            </a:ln>
            <a:scene3d>
              <a:camera prst="orthographicFront"/>
              <a:lightRig rig="threePt" dir="t"/>
            </a:scene3d>
            <a:sp3d>
              <a:bevelB w="101600" prst="riblet"/>
            </a:sp3d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0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 baseline="0"/>
                      <a:t>362 252 677</a:t>
                    </a:r>
                    <a:endParaRPr lang="en-US" sz="100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000" baseline="0"/>
                      <a:t>370 324 365</a:t>
                    </a:r>
                    <a:endParaRPr lang="en-US" sz="100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 (-10,5%)</c:v>
                </c:pt>
                <c:pt idx="1">
                  <c:v>2012 (9,3%)</c:v>
                </c:pt>
                <c:pt idx="2">
                  <c:v>2013 (2,2%)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331377041</c:v>
                </c:pt>
                <c:pt idx="1">
                  <c:v>362252676.56999999</c:v>
                </c:pt>
                <c:pt idx="2">
                  <c:v>370324364.55000001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axId val="221248896"/>
        <c:axId val="226994048"/>
      </c:barChart>
      <c:catAx>
        <c:axId val="22124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26994048"/>
        <c:crosses val="autoZero"/>
        <c:auto val="1"/>
        <c:lblAlgn val="ctr"/>
        <c:lblOffset val="100"/>
        <c:noMultiLvlLbl val="0"/>
      </c:catAx>
      <c:valAx>
        <c:axId val="226994048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#,##0.00&quot;р.&quot;" sourceLinked="0"/>
        <c:majorTickMark val="out"/>
        <c:minorTickMark val="none"/>
        <c:tickLblPos val="nextTo"/>
        <c:spPr>
          <a:noFill/>
          <a:ln>
            <a:solidFill>
              <a:srgbClr val="4F81BD"/>
            </a:solidFill>
          </a:ln>
        </c:spPr>
        <c:crossAx val="22124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611C-5379-4C96-BC15-416E1AD2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11305</TotalTime>
  <Pages>15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Цуглевич Ольга Сергеевна</cp:lastModifiedBy>
  <cp:revision>389</cp:revision>
  <cp:lastPrinted>2014-05-26T05:03:00Z</cp:lastPrinted>
  <dcterms:created xsi:type="dcterms:W3CDTF">2010-03-17T09:01:00Z</dcterms:created>
  <dcterms:modified xsi:type="dcterms:W3CDTF">2014-05-26T05:10:00Z</dcterms:modified>
</cp:coreProperties>
</file>