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A7" w:rsidRDefault="00CF1BA7" w:rsidP="00CF1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13677267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D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8C">
        <w:rPr>
          <w:rFonts w:ascii="Times New Roman" w:hAnsi="Times New Roman" w:cs="Times New Roman"/>
          <w:sz w:val="28"/>
          <w:szCs w:val="28"/>
        </w:rPr>
        <w:t xml:space="preserve">№ 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2870">
        <w:rPr>
          <w:rFonts w:ascii="Times New Roman" w:hAnsi="Times New Roman" w:cs="Times New Roman"/>
          <w:sz w:val="28"/>
          <w:szCs w:val="28"/>
        </w:rPr>
        <w:t>приказу</w:t>
      </w:r>
    </w:p>
    <w:p w:rsidR="00E32870" w:rsidRDefault="00E32870" w:rsidP="00CF1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B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CF1BA7">
        <w:rPr>
          <w:rFonts w:ascii="Times New Roman" w:hAnsi="Times New Roman" w:cs="Times New Roman"/>
          <w:sz w:val="28"/>
          <w:szCs w:val="28"/>
        </w:rPr>
        <w:t>четной</w:t>
      </w:r>
      <w:proofErr w:type="gramEnd"/>
      <w:r w:rsidR="00CF1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A7" w:rsidRDefault="00CF1BA7" w:rsidP="00CF1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</w:t>
      </w:r>
      <w:r w:rsidR="00E3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3287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CF1BA7" w:rsidRDefault="00E32870" w:rsidP="00E32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F1BA7">
        <w:rPr>
          <w:rFonts w:ascii="Times New Roman" w:hAnsi="Times New Roman" w:cs="Times New Roman"/>
          <w:sz w:val="28"/>
          <w:szCs w:val="28"/>
        </w:rPr>
        <w:t xml:space="preserve">от </w:t>
      </w:r>
      <w:r w:rsidR="000E0A82">
        <w:rPr>
          <w:rFonts w:ascii="Times New Roman" w:hAnsi="Times New Roman" w:cs="Times New Roman"/>
          <w:sz w:val="28"/>
          <w:szCs w:val="28"/>
        </w:rPr>
        <w:t>20.01.2014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BA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E0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BA7" w:rsidRDefault="00CF1BA7" w:rsidP="00CF1BA7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A7" w:rsidRDefault="00CF1BA7" w:rsidP="00CF1BA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F43AA6" w:rsidRDefault="00F43AA6" w:rsidP="00F43AA6"/>
    <w:p w:rsidR="00F43AA6" w:rsidRPr="00855B11" w:rsidRDefault="00F43AA6" w:rsidP="00F43AA6">
      <w:pPr>
        <w:ind w:left="5" w:hanging="5"/>
        <w:jc w:val="center"/>
        <w:rPr>
          <w:sz w:val="28"/>
          <w:szCs w:val="28"/>
        </w:rPr>
      </w:pPr>
    </w:p>
    <w:p w:rsidR="00CF1BA7" w:rsidRPr="00F43AA6" w:rsidRDefault="00CF1BA7" w:rsidP="00CF1BA7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BA7" w:rsidRDefault="00CF1BA7" w:rsidP="00CF1BA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1BA7" w:rsidRDefault="00CF1BA7" w:rsidP="00CF1BA7">
      <w:pPr>
        <w:spacing w:line="360" w:lineRule="auto"/>
        <w:jc w:val="center"/>
        <w:rPr>
          <w:sz w:val="32"/>
          <w:szCs w:val="32"/>
        </w:rPr>
      </w:pPr>
    </w:p>
    <w:p w:rsidR="00CF1BA7" w:rsidRDefault="00CF1BA7" w:rsidP="00CF1B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ВНЕШНЕГО МУНИЦИП</w:t>
      </w:r>
      <w:r w:rsidR="00E32870">
        <w:rPr>
          <w:rFonts w:ascii="Times New Roman" w:hAnsi="Times New Roman"/>
          <w:b/>
          <w:sz w:val="28"/>
          <w:szCs w:val="28"/>
        </w:rPr>
        <w:t xml:space="preserve">АЛЬНОГО ФИНАНСОВОГО КОНТРОЛЯ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A7" w:rsidRDefault="00CF1BA7" w:rsidP="00CF1B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BA7" w:rsidRDefault="00CF1BA7" w:rsidP="00CF1BA7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Cs w:val="0"/>
          <w:sz w:val="28"/>
          <w:szCs w:val="28"/>
          <w:lang w:eastAsia="ru-RU"/>
        </w:rPr>
        <w:t>ФИНАНСОВО-ЭКОНОМИЧЕСКАЯ ЭКСПЕРТИЗА ПРОЕКТОВ МУНИЦИПАЛЬНЫХ ПРОГРАММ</w:t>
      </w:r>
      <w:r>
        <w:rPr>
          <w:rFonts w:ascii="Times New Roman" w:hAnsi="Times New Roman"/>
          <w:bCs w:val="0"/>
          <w:sz w:val="28"/>
          <w:szCs w:val="28"/>
          <w:lang w:val="ru-RU" w:eastAsia="ru-RU"/>
        </w:rPr>
        <w:t>»</w:t>
      </w:r>
    </w:p>
    <w:p w:rsidR="00CF1BA7" w:rsidRDefault="00CF1BA7" w:rsidP="00CF1BA7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F1BA7" w:rsidRDefault="00CF1BA7" w:rsidP="00CF1BA7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F1BA7" w:rsidRDefault="00CF1BA7" w:rsidP="00CF1BA7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F1BA7" w:rsidRDefault="00CF1BA7" w:rsidP="00CF1BA7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CF1BA7" w:rsidRDefault="00CF1BA7" w:rsidP="00CF1B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A7" w:rsidRDefault="00CF1BA7" w:rsidP="00CF1BA7">
      <w:pPr>
        <w:spacing w:line="360" w:lineRule="auto"/>
        <w:ind w:firstLine="709"/>
        <w:jc w:val="both"/>
        <w:rPr>
          <w:sz w:val="28"/>
          <w:szCs w:val="28"/>
        </w:rPr>
      </w:pPr>
    </w:p>
    <w:p w:rsidR="00A1378C" w:rsidRDefault="00A1378C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</w:p>
    <w:p w:rsidR="00A1378C" w:rsidRDefault="00A1378C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</w:p>
    <w:p w:rsidR="00A1378C" w:rsidRDefault="00A1378C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</w:p>
    <w:p w:rsidR="00A1378C" w:rsidRDefault="00A1378C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</w:p>
    <w:p w:rsidR="00A1378C" w:rsidRDefault="00A1378C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</w:p>
    <w:p w:rsidR="00A1378C" w:rsidRDefault="00A1378C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</w:p>
    <w:p w:rsidR="00CF1BA7" w:rsidRDefault="00CF1BA7" w:rsidP="00CF1BA7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</w:t>
      </w:r>
      <w:r w:rsidR="001234C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</w:t>
      </w:r>
    </w:p>
    <w:bookmarkEnd w:id="0"/>
    <w:p w:rsidR="00CF1BA7" w:rsidRDefault="00CF1BA7" w:rsidP="00CF1BA7"/>
    <w:p w:rsidR="00A1378C" w:rsidRDefault="00A1378C" w:rsidP="00CF1B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BA7" w:rsidRDefault="00CF1BA7" w:rsidP="00CF1B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F1BA7" w:rsidRDefault="00CF1BA7" w:rsidP="00CF1B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BA7" w:rsidRDefault="00CF1BA7" w:rsidP="00CF1BA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1BA7" w:rsidRDefault="00CF1BA7" w:rsidP="00CF1BA7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r:id="rId8" w:anchor="_Toc324753702" w:history="1">
        <w:r>
          <w:rPr>
            <w:rStyle w:val="a3"/>
            <w:b w:val="0"/>
            <w:noProof/>
            <w:sz w:val="28"/>
            <w:szCs w:val="28"/>
          </w:rPr>
          <w:t>1.</w:t>
        </w:r>
        <w:r>
          <w:rPr>
            <w:rStyle w:val="a3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>
          <w:rPr>
            <w:rStyle w:val="a3"/>
            <w:b w:val="0"/>
            <w:caps w:val="0"/>
            <w:noProof/>
            <w:sz w:val="28"/>
            <w:szCs w:val="28"/>
          </w:rPr>
          <w:t>Общие положения</w:t>
        </w:r>
        <w:r>
          <w:rPr>
            <w:rStyle w:val="a3"/>
            <w:b w:val="0"/>
            <w:noProof/>
            <w:webHidden/>
            <w:sz w:val="28"/>
            <w:szCs w:val="28"/>
          </w:rPr>
          <w:tab/>
        </w:r>
        <w:r>
          <w:rPr>
            <w:rStyle w:val="a3"/>
            <w:b w:val="0"/>
            <w:noProof/>
            <w:webHidden/>
            <w:sz w:val="28"/>
            <w:szCs w:val="28"/>
          </w:rPr>
          <w:fldChar w:fldCharType="begin"/>
        </w:r>
        <w:r>
          <w:rPr>
            <w:rStyle w:val="a3"/>
            <w:b w:val="0"/>
            <w:noProof/>
            <w:webHidden/>
            <w:sz w:val="28"/>
            <w:szCs w:val="28"/>
          </w:rPr>
          <w:instrText xml:space="preserve"> PAGEREF _Toc324753702 \h </w:instrText>
        </w:r>
        <w:r>
          <w:rPr>
            <w:rStyle w:val="a3"/>
            <w:b w:val="0"/>
            <w:noProof/>
            <w:webHidden/>
            <w:sz w:val="28"/>
            <w:szCs w:val="28"/>
          </w:rPr>
        </w:r>
        <w:r>
          <w:rPr>
            <w:rStyle w:val="a3"/>
            <w:b w:val="0"/>
            <w:noProof/>
            <w:webHidden/>
            <w:sz w:val="28"/>
            <w:szCs w:val="28"/>
          </w:rPr>
          <w:fldChar w:fldCharType="separate"/>
        </w:r>
        <w:r w:rsidR="000E0A82">
          <w:rPr>
            <w:rStyle w:val="a3"/>
            <w:b w:val="0"/>
            <w:noProof/>
            <w:webHidden/>
            <w:sz w:val="28"/>
            <w:szCs w:val="28"/>
          </w:rPr>
          <w:t>3</w:t>
        </w:r>
        <w:r>
          <w:rPr>
            <w:rStyle w:val="a3"/>
            <w:b w:val="0"/>
            <w:noProof/>
            <w:webHidden/>
            <w:sz w:val="28"/>
            <w:szCs w:val="28"/>
          </w:rPr>
          <w:fldChar w:fldCharType="end"/>
        </w:r>
      </w:hyperlink>
    </w:p>
    <w:p w:rsidR="00CF1BA7" w:rsidRDefault="005A3BF3" w:rsidP="00CF1BA7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hyperlink r:id="rId9" w:anchor="_Toc324753703" w:history="1">
        <w:r w:rsidR="00CF1BA7">
          <w:rPr>
            <w:rStyle w:val="a3"/>
            <w:b w:val="0"/>
            <w:noProof/>
            <w:sz w:val="28"/>
            <w:szCs w:val="28"/>
          </w:rPr>
          <w:t>2.</w:t>
        </w:r>
        <w:r w:rsidR="00CF1BA7">
          <w:rPr>
            <w:rStyle w:val="a3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 w:rsidR="00CF1BA7">
          <w:rPr>
            <w:rStyle w:val="a3"/>
            <w:b w:val="0"/>
            <w:caps w:val="0"/>
            <w:noProof/>
            <w:sz w:val="28"/>
            <w:szCs w:val="28"/>
          </w:rPr>
          <w:t>Требования к проведению экспертизы проекта муниципальной программы</w:t>
        </w:r>
        <w:r w:rsidR="00CF1BA7">
          <w:rPr>
            <w:rStyle w:val="a3"/>
            <w:b w:val="0"/>
            <w:noProof/>
            <w:webHidden/>
            <w:sz w:val="28"/>
            <w:szCs w:val="28"/>
          </w:rPr>
          <w:tab/>
        </w:r>
        <w:r w:rsidR="00CF1BA7">
          <w:rPr>
            <w:rStyle w:val="a3"/>
            <w:b w:val="0"/>
            <w:noProof/>
            <w:webHidden/>
            <w:sz w:val="28"/>
            <w:szCs w:val="28"/>
          </w:rPr>
          <w:fldChar w:fldCharType="begin"/>
        </w:r>
        <w:r w:rsidR="00CF1BA7">
          <w:rPr>
            <w:rStyle w:val="a3"/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="00CF1BA7">
          <w:rPr>
            <w:rStyle w:val="a3"/>
            <w:b w:val="0"/>
            <w:noProof/>
            <w:webHidden/>
            <w:sz w:val="28"/>
            <w:szCs w:val="28"/>
          </w:rPr>
        </w:r>
        <w:r w:rsidR="00CF1BA7">
          <w:rPr>
            <w:rStyle w:val="a3"/>
            <w:b w:val="0"/>
            <w:noProof/>
            <w:webHidden/>
            <w:sz w:val="28"/>
            <w:szCs w:val="28"/>
          </w:rPr>
          <w:fldChar w:fldCharType="separate"/>
        </w:r>
        <w:r w:rsidR="000E0A82">
          <w:rPr>
            <w:rStyle w:val="a3"/>
            <w:b w:val="0"/>
            <w:noProof/>
            <w:webHidden/>
            <w:sz w:val="28"/>
            <w:szCs w:val="28"/>
          </w:rPr>
          <w:t>5</w:t>
        </w:r>
        <w:r w:rsidR="00CF1BA7">
          <w:rPr>
            <w:rStyle w:val="a3"/>
            <w:b w:val="0"/>
            <w:noProof/>
            <w:webHidden/>
            <w:sz w:val="28"/>
            <w:szCs w:val="28"/>
          </w:rPr>
          <w:fldChar w:fldCharType="end"/>
        </w:r>
      </w:hyperlink>
    </w:p>
    <w:p w:rsidR="00CF1BA7" w:rsidRDefault="005A3BF3" w:rsidP="00CF1BA7">
      <w:pPr>
        <w:pStyle w:val="11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r:id="rId10" w:anchor="_Toc324753704" w:history="1">
        <w:r w:rsidR="00CF1BA7">
          <w:rPr>
            <w:rStyle w:val="a3"/>
            <w:b w:val="0"/>
            <w:noProof/>
            <w:sz w:val="28"/>
            <w:szCs w:val="28"/>
          </w:rPr>
          <w:t>3.</w:t>
        </w:r>
        <w:r w:rsidR="00CF1BA7">
          <w:rPr>
            <w:rStyle w:val="a3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 w:rsidR="00CF1BA7">
          <w:rPr>
            <w:rStyle w:val="a3"/>
            <w:b w:val="0"/>
            <w:caps w:val="0"/>
            <w:noProof/>
            <w:sz w:val="28"/>
            <w:szCs w:val="28"/>
          </w:rPr>
          <w:t>Требования к оформлению результатов экспертизы</w:t>
        </w:r>
        <w:r w:rsidR="00CF1BA7">
          <w:rPr>
            <w:rStyle w:val="a3"/>
            <w:b w:val="0"/>
            <w:noProof/>
            <w:webHidden/>
            <w:sz w:val="28"/>
            <w:szCs w:val="28"/>
          </w:rPr>
          <w:tab/>
          <w:t>6</w:t>
        </w:r>
      </w:hyperlink>
    </w:p>
    <w:p w:rsidR="00CF1BA7" w:rsidRDefault="00CF1BA7" w:rsidP="00CF1BA7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CF1BA7" w:rsidRDefault="00CF1BA7" w:rsidP="00CF1BA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caps/>
          <w:sz w:val="26"/>
          <w:szCs w:val="26"/>
        </w:rPr>
        <w:br w:type="page"/>
      </w:r>
    </w:p>
    <w:p w:rsidR="00CF1BA7" w:rsidRDefault="00CF1BA7" w:rsidP="00CF1BA7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_Toc324753702"/>
      <w:bookmarkStart w:id="3" w:name="_Toc311946838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2"/>
      <w:bookmarkEnd w:id="3"/>
    </w:p>
    <w:p w:rsidR="00CF1BA7" w:rsidRDefault="00CF1BA7" w:rsidP="00CF1BA7">
      <w:pPr>
        <w:spacing w:after="0" w:line="240" w:lineRule="auto"/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Стандарт «Финансово-экономическая экспертиза  проектов муниципальных программ» (далее – Стандарт, СФК) разработан в соответствии с Федеральным законом от 07.02.2011 № 6-ФЗ «Об общих принципах организации и деятельности </w:t>
      </w:r>
      <w:bookmarkStart w:id="4" w:name="l1"/>
      <w:bookmarkEnd w:id="4"/>
      <w:r>
        <w:rPr>
          <w:rFonts w:ascii="Times New Roman" w:hAnsi="Times New Roman"/>
          <w:spacing w:val="-2"/>
          <w:sz w:val="28"/>
          <w:szCs w:val="28"/>
        </w:rPr>
        <w:t xml:space="preserve">контрольно-счетных органов субъектов Российской Федерации и муниципальных образований». 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Стандарт 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определяет общие требования и принципы проведения </w:t>
      </w:r>
      <w:r w:rsidR="00E32870">
        <w:rPr>
          <w:rFonts w:ascii="Times New Roman" w:hAnsi="Times New Roman"/>
          <w:sz w:val="28"/>
          <w:szCs w:val="28"/>
        </w:rPr>
        <w:t>контрольно-с</w:t>
      </w:r>
      <w:r>
        <w:rPr>
          <w:rFonts w:ascii="Times New Roman" w:hAnsi="Times New Roman"/>
          <w:sz w:val="28"/>
          <w:szCs w:val="28"/>
        </w:rPr>
        <w:t xml:space="preserve">четной палатой города </w:t>
      </w:r>
      <w:proofErr w:type="spellStart"/>
      <w:r w:rsidR="00E32870"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</w:t>
      </w:r>
      <w:r w:rsidR="00E328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</w:t>
      </w:r>
      <w:r w:rsidR="00E328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СП.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является обязательным к применению должностными лицами </w:t>
      </w:r>
      <w:r w:rsidR="00EA3A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СП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Финансово-экономическая экспертиза (далее – экспертиза) проектов муниципальных программ осуществляется </w:t>
      </w:r>
      <w:r w:rsidR="00EA3A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 на основании п. 7 ч. 2 ст. 9 Федерального закона от 07.02.2011 </w:t>
      </w:r>
      <w:r>
        <w:rPr>
          <w:rFonts w:ascii="Times New Roman" w:hAnsi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 и п. </w:t>
      </w:r>
      <w:r w:rsidR="0028464C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 ч.</w:t>
      </w:r>
      <w:r w:rsidR="0028464C">
        <w:rPr>
          <w:rFonts w:ascii="Times New Roman" w:hAnsi="Times New Roman"/>
          <w:spacing w:val="-2"/>
          <w:sz w:val="28"/>
          <w:szCs w:val="28"/>
        </w:rPr>
        <w:t xml:space="preserve"> 3</w:t>
      </w:r>
      <w:r>
        <w:rPr>
          <w:rFonts w:ascii="Times New Roman" w:hAnsi="Times New Roman"/>
          <w:spacing w:val="-2"/>
          <w:sz w:val="28"/>
          <w:szCs w:val="28"/>
        </w:rPr>
        <w:t xml:space="preserve"> ст. </w:t>
      </w:r>
      <w:r w:rsidR="0028464C">
        <w:rPr>
          <w:rFonts w:ascii="Times New Roman" w:hAnsi="Times New Roman"/>
          <w:spacing w:val="-2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Положения о </w:t>
      </w:r>
      <w:r w:rsidR="0028464C">
        <w:rPr>
          <w:rFonts w:ascii="Times New Roman" w:hAnsi="Times New Roman"/>
          <w:spacing w:val="-2"/>
          <w:sz w:val="28"/>
          <w:szCs w:val="28"/>
        </w:rPr>
        <w:t>КСП</w:t>
      </w:r>
      <w:r>
        <w:rPr>
          <w:rFonts w:ascii="Times New Roman" w:hAnsi="Times New Roman"/>
          <w:spacing w:val="-2"/>
          <w:sz w:val="28"/>
          <w:szCs w:val="28"/>
        </w:rPr>
        <w:t xml:space="preserve"> города </w:t>
      </w:r>
      <w:proofErr w:type="spellStart"/>
      <w:r w:rsidR="00EA3A4E">
        <w:rPr>
          <w:rFonts w:ascii="Times New Roman" w:hAnsi="Times New Roman"/>
          <w:spacing w:val="-2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CF1BA7" w:rsidRDefault="00CF1BA7" w:rsidP="00CF1BA7">
      <w:pPr>
        <w:widowControl w:val="0"/>
        <w:tabs>
          <w:tab w:val="left" w:pos="1276"/>
          <w:tab w:val="left" w:pos="13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CF1BA7" w:rsidRDefault="00CF1BA7" w:rsidP="00CF1BA7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</w:t>
      </w:r>
      <w:r w:rsidR="008C61B1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8C61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результатов, соответстви</w:t>
      </w:r>
      <w:r w:rsidR="008C61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законодательству;</w:t>
      </w:r>
    </w:p>
    <w:p w:rsidR="00CF1BA7" w:rsidRDefault="00CF1BA7" w:rsidP="00CF1BA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F1BA7" w:rsidRDefault="00CF1BA7" w:rsidP="00CF1BA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целевые (индикативные) показатели, индикаторы – показ</w:t>
      </w:r>
      <w:r w:rsidR="008C61B1">
        <w:rPr>
          <w:rFonts w:ascii="Times New Roman" w:hAnsi="Times New Roman"/>
          <w:sz w:val="28"/>
          <w:szCs w:val="28"/>
        </w:rPr>
        <w:t>атели, установленные программой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Экспертизы проектов муниципальных программ  являются экспертно-аналитическими мероприятиями, проводимыми в рамках предварительного контроля правовых актов.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финансово-экономической экспертизы является </w:t>
      </w:r>
      <w:r>
        <w:rPr>
          <w:rFonts w:ascii="Times New Roman" w:hAnsi="Times New Roman"/>
          <w:sz w:val="28"/>
          <w:szCs w:val="28"/>
        </w:rPr>
        <w:lastRenderedPageBreak/>
        <w:t>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нового, изменения действующего расходного обязательства для бюджета муниципального образования.</w:t>
      </w:r>
    </w:p>
    <w:p w:rsidR="00CF1BA7" w:rsidRDefault="00CF1BA7" w:rsidP="00CF1BA7">
      <w:pPr>
        <w:widowControl w:val="0"/>
        <w:tabs>
          <w:tab w:val="left" w:pos="1276"/>
          <w:tab w:val="left" w:pos="13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C312DF"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СП впр</w:t>
      </w:r>
      <w:proofErr w:type="gramEnd"/>
      <w:r>
        <w:rPr>
          <w:rFonts w:ascii="Times New Roman" w:hAnsi="Times New Roman"/>
          <w:sz w:val="28"/>
          <w:szCs w:val="28"/>
        </w:rPr>
        <w:t>аве выражать свое мнение по указанным аспектам.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проекта муниципальной программы включает оценку его соответствия Федеральному законодательству, законодательству ХМАО</w:t>
      </w:r>
      <w:r w:rsidR="008C61B1">
        <w:rPr>
          <w:rFonts w:ascii="Times New Roman" w:hAnsi="Times New Roman"/>
          <w:sz w:val="28"/>
          <w:szCs w:val="28"/>
        </w:rPr>
        <w:t>-Югры</w:t>
      </w:r>
      <w:r>
        <w:rPr>
          <w:rFonts w:ascii="Times New Roman" w:hAnsi="Times New Roman"/>
          <w:sz w:val="28"/>
          <w:szCs w:val="28"/>
        </w:rPr>
        <w:t xml:space="preserve"> и принимаемыми в соответствии с ними муниципальными правовыми актами.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итогам экспертизы не должно содержать политических оценок проекта муниципальной программы, а также оценок деятельности органов местного самоуправления и их должностных лиц.</w:t>
      </w:r>
    </w:p>
    <w:p w:rsidR="00CF1BA7" w:rsidRDefault="00CF1BA7" w:rsidP="00CF1BA7">
      <w:pPr>
        <w:pStyle w:val="a4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экспертизы проекта муниципальной программы является оценка:</w:t>
      </w:r>
    </w:p>
    <w:p w:rsidR="00CF1BA7" w:rsidRDefault="00CF1BA7" w:rsidP="00CF1BA7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положений проекта муниципальной программы Федеральному законодательству, законодательству ХМАО</w:t>
      </w:r>
      <w:r w:rsidR="008C61B1">
        <w:rPr>
          <w:rFonts w:ascii="Times New Roman" w:hAnsi="Times New Roman"/>
          <w:sz w:val="28"/>
          <w:szCs w:val="28"/>
        </w:rPr>
        <w:t>-Югры</w:t>
      </w:r>
      <w:r>
        <w:rPr>
          <w:rFonts w:ascii="Times New Roman" w:hAnsi="Times New Roman"/>
          <w:sz w:val="28"/>
          <w:szCs w:val="28"/>
        </w:rPr>
        <w:t>, муниципальным правовым актам;</w:t>
      </w:r>
    </w:p>
    <w:p w:rsidR="00CF1BA7" w:rsidRDefault="00CF1BA7" w:rsidP="00CF1BA7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анализа предметной ситуац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факторов;</w:t>
      </w:r>
    </w:p>
    <w:p w:rsidR="00CF1BA7" w:rsidRDefault="00CF1BA7" w:rsidP="00CF1BA7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CF1BA7" w:rsidRDefault="00CF1BA7" w:rsidP="00CF1BA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CF1BA7" w:rsidRDefault="00CF1BA7" w:rsidP="00CF1BA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обоснованности заявленных финансовых потребностей муниципальной программы и обоснованности </w:t>
      </w:r>
      <w:r w:rsidR="008C61B1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1BA7" w:rsidRDefault="00CF1BA7" w:rsidP="00CF1BA7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Экспертизе подлежат проекты муниципальных программ или проекты </w:t>
      </w:r>
      <w:r w:rsidR="008C61B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</w:t>
      </w:r>
      <w:r w:rsidR="008C6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программы. Повторная финансово-экономическая экспертиза проводится в случае направления в </w:t>
      </w:r>
      <w:r w:rsidR="00C312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СП проекта муниципальной программы (проекта</w:t>
      </w:r>
      <w:r w:rsidR="008C6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1B1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</w:t>
      </w:r>
      <w:r w:rsidR="008C6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программу) повторно после устранения замечаний и рассмотрения предложений </w:t>
      </w:r>
      <w:r w:rsidR="00C312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СП.</w:t>
      </w:r>
    </w:p>
    <w:p w:rsidR="00CF1BA7" w:rsidRDefault="00CF1BA7" w:rsidP="00CF1BA7">
      <w:pPr>
        <w:pStyle w:val="a4"/>
        <w:rPr>
          <w:rFonts w:ascii="Times New Roman" w:hAnsi="Times New Roman"/>
          <w:sz w:val="16"/>
          <w:szCs w:val="16"/>
        </w:rPr>
      </w:pPr>
    </w:p>
    <w:p w:rsidR="00C312DF" w:rsidRPr="00C312DF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неполного пакета документов или не представления документов в сроки, установленные в запросе, документы подлежат возврату.  </w:t>
      </w:r>
    </w:p>
    <w:p w:rsidR="00C312DF" w:rsidRPr="00C312DF" w:rsidRDefault="00C312DF" w:rsidP="00C312DF">
      <w:pPr>
        <w:pStyle w:val="a4"/>
        <w:rPr>
          <w:rFonts w:ascii="Times New Roman" w:hAnsi="Times New Roman"/>
          <w:sz w:val="28"/>
          <w:szCs w:val="28"/>
        </w:rPr>
      </w:pPr>
    </w:p>
    <w:p w:rsidR="00CF1BA7" w:rsidRDefault="00CF1BA7" w:rsidP="00C312DF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CF1BA7" w:rsidRDefault="00CF1BA7" w:rsidP="00CF1BA7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324753703"/>
      <w:bookmarkStart w:id="6" w:name="_Toc311946841"/>
      <w:r>
        <w:rPr>
          <w:rFonts w:ascii="Times New Roman" w:hAnsi="Times New Roman"/>
          <w:sz w:val="28"/>
          <w:szCs w:val="28"/>
        </w:rPr>
        <w:lastRenderedPageBreak/>
        <w:t>Требования к проведению экспертизы                                                      проекта муниципальной программы</w:t>
      </w:r>
      <w:bookmarkEnd w:id="5"/>
      <w:bookmarkEnd w:id="6"/>
    </w:p>
    <w:p w:rsidR="00CF1BA7" w:rsidRDefault="00CF1BA7" w:rsidP="00CF1BA7">
      <w:pPr>
        <w:spacing w:after="0" w:line="240" w:lineRule="auto"/>
        <w:rPr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экспертизы проекта муниципальной программы определяется должностным лицом </w:t>
      </w:r>
      <w:r w:rsidR="00E14B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СП, ответственным за ее проведение, 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должностным лицом </w:t>
      </w:r>
      <w:r w:rsidR="00E14B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 при проведении экспертизы могут быть определены вопросы, на которые участвующим в проведении экспертизы предлагается обратить особое внимание. 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мероприятий.  </w:t>
      </w:r>
    </w:p>
    <w:p w:rsidR="00CF1BA7" w:rsidRDefault="00CF1BA7" w:rsidP="00CF1BA7">
      <w:pPr>
        <w:pStyle w:val="a4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>
        <w:rPr>
          <w:rStyle w:val="FontStyle11"/>
          <w:b w:val="0"/>
          <w:sz w:val="28"/>
          <w:szCs w:val="28"/>
        </w:rPr>
        <w:t xml:space="preserve">проектов муниципальных  </w:t>
      </w:r>
      <w:r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Style w:val="FontStyle11"/>
          <w:b w:val="0"/>
          <w:bCs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соответствие целей, задач </w:t>
      </w:r>
      <w:r w:rsidR="005D64CF">
        <w:rPr>
          <w:rStyle w:val="FontStyle11"/>
          <w:b w:val="0"/>
          <w:bCs w:val="0"/>
          <w:sz w:val="28"/>
          <w:szCs w:val="28"/>
        </w:rPr>
        <w:t xml:space="preserve">стратегии </w:t>
      </w:r>
      <w:r>
        <w:rPr>
          <w:rFonts w:ascii="Times New Roman" w:hAnsi="Times New Roman"/>
          <w:sz w:val="28"/>
          <w:szCs w:val="28"/>
        </w:rPr>
        <w:t xml:space="preserve"> развития муниципального образования;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>
        <w:rPr>
          <w:rStyle w:val="FontStyle11"/>
          <w:b w:val="0"/>
          <w:bCs w:val="0"/>
          <w:sz w:val="28"/>
          <w:szCs w:val="28"/>
        </w:rPr>
        <w:t>;</w:t>
      </w:r>
    </w:p>
    <w:p w:rsidR="00CF1BA7" w:rsidRDefault="00CF1BA7" w:rsidP="00CF1BA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</w:t>
      </w:r>
      <w:r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 либо принимаемых программ;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 для бюджетного финансирования - в разрезе целевых статей и направлений расходования;</w:t>
      </w:r>
    </w:p>
    <w:p w:rsidR="00CF1BA7" w:rsidRDefault="00CF1BA7" w:rsidP="00CF1BA7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, полноты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CF1BA7" w:rsidRDefault="00CF1BA7" w:rsidP="00CF1BA7">
      <w:pPr>
        <w:pStyle w:val="Style2"/>
        <w:widowControl/>
        <w:numPr>
          <w:ilvl w:val="0"/>
          <w:numId w:val="4"/>
        </w:numPr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lastRenderedPageBreak/>
        <w:t>четкая формулировка, простота понимания индикаторов (целевых, индикативных показателей);</w:t>
      </w:r>
    </w:p>
    <w:p w:rsidR="00CF1BA7" w:rsidRDefault="00CF1BA7" w:rsidP="00CF1BA7">
      <w:pPr>
        <w:pStyle w:val="Style2"/>
        <w:widowControl/>
        <w:numPr>
          <w:ilvl w:val="0"/>
          <w:numId w:val="4"/>
        </w:numPr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CF1BA7" w:rsidRDefault="00CF1BA7" w:rsidP="00CF1BA7">
      <w:pPr>
        <w:pStyle w:val="Style2"/>
        <w:widowControl/>
        <w:numPr>
          <w:ilvl w:val="0"/>
          <w:numId w:val="4"/>
        </w:numPr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CF1BA7" w:rsidRDefault="00CF1BA7" w:rsidP="00CF1BA7">
      <w:pPr>
        <w:pStyle w:val="Style2"/>
        <w:widowControl/>
        <w:numPr>
          <w:ilvl w:val="0"/>
          <w:numId w:val="4"/>
        </w:numPr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CF1BA7" w:rsidRDefault="00CF1BA7" w:rsidP="00CF1BA7">
      <w:pPr>
        <w:pStyle w:val="Style2"/>
        <w:widowControl/>
        <w:numPr>
          <w:ilvl w:val="0"/>
          <w:numId w:val="4"/>
        </w:numPr>
        <w:ind w:left="1134" w:hanging="42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Экспертиза проектов о</w:t>
      </w:r>
      <w:r w:rsidR="005D64CF">
        <w:rPr>
          <w:rFonts w:ascii="Times New Roman" w:hAnsi="Times New Roman"/>
          <w:sz w:val="28"/>
          <w:szCs w:val="28"/>
        </w:rPr>
        <w:t xml:space="preserve"> внесении</w:t>
      </w:r>
      <w:r w:rsidR="00BC7397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 xml:space="preserve"> муниципальных программ осуществляется в порядке, определенном для экспертизы проекта муниципальной программы.</w:t>
      </w:r>
    </w:p>
    <w:p w:rsidR="00CF1BA7" w:rsidRDefault="00CF1BA7" w:rsidP="00CF1BA7">
      <w:pPr>
        <w:pStyle w:val="a4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экспертизы проекта муниципальной программы,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о</w:t>
      </w:r>
      <w:r w:rsidR="00BC7397">
        <w:rPr>
          <w:rFonts w:ascii="Times New Roman" w:hAnsi="Times New Roman"/>
          <w:sz w:val="28"/>
          <w:szCs w:val="28"/>
        </w:rPr>
        <w:t xml:space="preserve"> внесении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BC73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составляет </w:t>
      </w:r>
      <w:r w:rsidR="00F014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 w:rsidR="00F014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исчисляемых со дня, следующего за днем поступления проекта в </w:t>
      </w:r>
      <w:r w:rsidR="00E14B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СП. 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</w:rPr>
      </w:pPr>
    </w:p>
    <w:p w:rsidR="00CF1BA7" w:rsidRDefault="00CF1BA7" w:rsidP="00CF1BA7">
      <w:pPr>
        <w:pStyle w:val="1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7" w:name="l59"/>
      <w:bookmarkStart w:id="8" w:name="l13"/>
      <w:bookmarkStart w:id="9" w:name="l60"/>
      <w:bookmarkStart w:id="10" w:name="l14"/>
      <w:bookmarkStart w:id="11" w:name="l58"/>
      <w:bookmarkStart w:id="12" w:name="_Toc312083041"/>
      <w:bookmarkStart w:id="13" w:name="_Toc324753704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2"/>
      <w:bookmarkEnd w:id="13"/>
    </w:p>
    <w:p w:rsidR="00CF1BA7" w:rsidRDefault="00CF1BA7" w:rsidP="00CF1BA7">
      <w:pPr>
        <w:spacing w:after="0" w:line="240" w:lineRule="auto"/>
        <w:rPr>
          <w:rFonts w:ascii="Times New Roman" w:hAnsi="Times New Roman"/>
          <w:sz w:val="16"/>
          <w:szCs w:val="16"/>
          <w:lang w:val="x-none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проекта муниципальной  программы составляется заключение </w:t>
      </w:r>
      <w:r w:rsidR="002A115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СП (далее – заключение)</w:t>
      </w:r>
      <w:r>
        <w:rPr>
          <w:rFonts w:ascii="Times New Roman" w:hAnsi="Times New Roman"/>
          <w:sz w:val="28"/>
          <w:szCs w:val="28"/>
        </w:rPr>
        <w:t>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заключения, сведения  о привлеченных экспертах, описываются исследуемые расходные обязательства.  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при необходимости даются рекомендации.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</w:t>
      </w:r>
      <w:r>
        <w:rPr>
          <w:rFonts w:ascii="Times New Roman" w:hAnsi="Times New Roman"/>
          <w:sz w:val="28"/>
          <w:szCs w:val="28"/>
        </w:rPr>
        <w:lastRenderedPageBreak/>
        <w:t>муниципальной  программы: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предметной сферы жизнедеятельности муниципального образования;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проблемы; 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CF1BA7" w:rsidRDefault="00CF1BA7" w:rsidP="00CF1BA7">
      <w:pPr>
        <w:pStyle w:val="a4"/>
        <w:widowControl w:val="0"/>
        <w:numPr>
          <w:ilvl w:val="1"/>
          <w:numId w:val="5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финансовых потребностей муниципальной программы.</w:t>
      </w:r>
    </w:p>
    <w:p w:rsidR="00CF1BA7" w:rsidRDefault="00CF1BA7" w:rsidP="00CF1BA7">
      <w:pPr>
        <w:pStyle w:val="a4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содержательной части приводятся данные об общем объеме финансирования, в том числе по годам</w:t>
      </w:r>
      <w:r w:rsidR="004651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при рассмотрении проекта вновь принимаемой программы</w:t>
      </w:r>
      <w:r w:rsidR="00465133">
        <w:rPr>
          <w:rFonts w:ascii="Times New Roman" w:hAnsi="Times New Roman"/>
          <w:sz w:val="28"/>
          <w:szCs w:val="28"/>
        </w:rPr>
        <w:t>; данные</w:t>
      </w:r>
      <w:r>
        <w:rPr>
          <w:rFonts w:ascii="Times New Roman" w:hAnsi="Times New Roman"/>
          <w:sz w:val="28"/>
          <w:szCs w:val="28"/>
        </w:rPr>
        <w:t xml:space="preserve"> о сумме изменения объемов финансирования при рассмотрении проекта корректировки программы.</w:t>
      </w:r>
    </w:p>
    <w:p w:rsidR="00CF1BA7" w:rsidRDefault="00CF1BA7" w:rsidP="00CF1BA7">
      <w:pPr>
        <w:pStyle w:val="a4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повторной финансово-экономической экспертизы указывается причина</w:t>
      </w:r>
      <w:r w:rsidR="005F7F4A">
        <w:rPr>
          <w:rFonts w:ascii="Times New Roman" w:hAnsi="Times New Roman"/>
          <w:sz w:val="28"/>
          <w:szCs w:val="28"/>
        </w:rPr>
        <w:t xml:space="preserve"> ее </w:t>
      </w:r>
      <w:r>
        <w:rPr>
          <w:rFonts w:ascii="Times New Roman" w:hAnsi="Times New Roman"/>
          <w:sz w:val="28"/>
          <w:szCs w:val="28"/>
        </w:rPr>
        <w:t xml:space="preserve">проведения (устранение замечаний, предоставление дополнительных документов, изменение первоначального проекта муниципальной программы, в том числе объемов финансирования). В содержательной части по итогам повторной экспертизы необходимо описать устраненные по рекомендации </w:t>
      </w:r>
      <w:r w:rsidR="002A115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СП нарушения и недостатки.</w:t>
      </w:r>
    </w:p>
    <w:p w:rsidR="00CF1BA7" w:rsidRDefault="00CF1BA7" w:rsidP="00CF1BA7">
      <w:pPr>
        <w:pStyle w:val="ConsPlusNormal"/>
        <w:jc w:val="both"/>
        <w:outlineLvl w:val="0"/>
        <w:rPr>
          <w:rFonts w:eastAsia="Calibri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в ходе проведения экспертизы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 в заключении по итогам экспертизы должна быть отражена соответствующая информация. </w:t>
      </w:r>
    </w:p>
    <w:p w:rsidR="00CF1BA7" w:rsidRDefault="005F7F4A" w:rsidP="00CF1BA7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CF1BA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CF1BA7">
        <w:rPr>
          <w:rFonts w:ascii="Times New Roman" w:hAnsi="Times New Roman"/>
          <w:sz w:val="28"/>
          <w:szCs w:val="28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муниципальных правовых актов.</w:t>
      </w:r>
    </w:p>
    <w:p w:rsidR="00CF1BA7" w:rsidRDefault="00CF1BA7" w:rsidP="00CF1BA7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по итогам финансово-экономической экспертизы не даются рекомендации по утверждению или отклонению представленного проекта. 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CF1BA7" w:rsidRDefault="00CF1BA7" w:rsidP="00CF1BA7">
      <w:pPr>
        <w:pStyle w:val="a4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Заключение по итогам финансово-экономической экспертизы проекта муниципальной программы (проекта изменений в муниципальную программу) подписывается </w:t>
      </w:r>
      <w:r w:rsidR="002A11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</w:t>
      </w:r>
      <w:r w:rsidR="002A115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 или лицом, его замещающим. Заключение направляется субъекту правотворческой инициативы, от которого проект был получен для проведения финансово-экономической экспертизы. </w:t>
      </w:r>
    </w:p>
    <w:p w:rsidR="00CF1BA7" w:rsidRDefault="00CF1BA7" w:rsidP="00CF1BA7">
      <w:pPr>
        <w:pStyle w:val="a4"/>
        <w:rPr>
          <w:rFonts w:ascii="Times New Roman" w:hAnsi="Times New Roman"/>
          <w:sz w:val="16"/>
          <w:szCs w:val="16"/>
        </w:rPr>
      </w:pPr>
    </w:p>
    <w:p w:rsidR="00CF1BA7" w:rsidRDefault="00CF1BA7" w:rsidP="00CF1BA7">
      <w:pPr>
        <w:pStyle w:val="a4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Информационное письмо со сведениями о результатах проведенной финансово-экономической экспертизы может быть направлено в Думу города, </w:t>
      </w:r>
      <w:r w:rsidR="002A11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города по инициативе </w:t>
      </w:r>
      <w:r w:rsidR="002A11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 w:rsidR="002A115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 w:rsidR="002A11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или по запросу указанных лиц.</w:t>
      </w:r>
    </w:p>
    <w:p w:rsidR="006647B4" w:rsidRDefault="006647B4"/>
    <w:sectPr w:rsidR="00664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F3" w:rsidRDefault="005A3BF3" w:rsidP="00A12D8B">
      <w:pPr>
        <w:spacing w:after="0" w:line="240" w:lineRule="auto"/>
      </w:pPr>
      <w:r>
        <w:separator/>
      </w:r>
    </w:p>
  </w:endnote>
  <w:endnote w:type="continuationSeparator" w:id="0">
    <w:p w:rsidR="005A3BF3" w:rsidRDefault="005A3BF3" w:rsidP="00A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8B" w:rsidRDefault="00A12D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81695"/>
      <w:docPartObj>
        <w:docPartGallery w:val="Page Numbers (Bottom of Page)"/>
        <w:docPartUnique/>
      </w:docPartObj>
    </w:sdtPr>
    <w:sdtEndPr/>
    <w:sdtContent>
      <w:p w:rsidR="00A12D8B" w:rsidRDefault="00A12D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82">
          <w:rPr>
            <w:noProof/>
          </w:rPr>
          <w:t>2</w:t>
        </w:r>
        <w:r>
          <w:fldChar w:fldCharType="end"/>
        </w:r>
      </w:p>
    </w:sdtContent>
  </w:sdt>
  <w:p w:rsidR="00A12D8B" w:rsidRDefault="00A12D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8B" w:rsidRDefault="00A12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F3" w:rsidRDefault="005A3BF3" w:rsidP="00A12D8B">
      <w:pPr>
        <w:spacing w:after="0" w:line="240" w:lineRule="auto"/>
      </w:pPr>
      <w:r>
        <w:separator/>
      </w:r>
    </w:p>
  </w:footnote>
  <w:footnote w:type="continuationSeparator" w:id="0">
    <w:p w:rsidR="005A3BF3" w:rsidRDefault="005A3BF3" w:rsidP="00A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8B" w:rsidRDefault="00A12D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8B" w:rsidRDefault="00A12D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8B" w:rsidRDefault="00A12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4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A7"/>
    <w:rsid w:val="000E0A82"/>
    <w:rsid w:val="000F61B7"/>
    <w:rsid w:val="001234CA"/>
    <w:rsid w:val="0028464C"/>
    <w:rsid w:val="002A1154"/>
    <w:rsid w:val="00434F05"/>
    <w:rsid w:val="00465133"/>
    <w:rsid w:val="0054550A"/>
    <w:rsid w:val="005A3BF3"/>
    <w:rsid w:val="005D64CF"/>
    <w:rsid w:val="005F7F4A"/>
    <w:rsid w:val="006647B4"/>
    <w:rsid w:val="00787D87"/>
    <w:rsid w:val="008C61B1"/>
    <w:rsid w:val="00966DD8"/>
    <w:rsid w:val="00A12D8B"/>
    <w:rsid w:val="00A1378C"/>
    <w:rsid w:val="00BC7397"/>
    <w:rsid w:val="00C312DF"/>
    <w:rsid w:val="00CF1BA7"/>
    <w:rsid w:val="00D26594"/>
    <w:rsid w:val="00DD70E8"/>
    <w:rsid w:val="00E14B53"/>
    <w:rsid w:val="00E32870"/>
    <w:rsid w:val="00EA15B8"/>
    <w:rsid w:val="00EA3A4E"/>
    <w:rsid w:val="00F0148A"/>
    <w:rsid w:val="00F43AA6"/>
    <w:rsid w:val="00F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1B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B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B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B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CF1BA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CF1BA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3">
    <w:name w:val="Hyperlink"/>
    <w:uiPriority w:val="99"/>
    <w:semiHidden/>
    <w:unhideWhenUsed/>
    <w:rsid w:val="00CF1B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CF1BA7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a4">
    <w:name w:val="List Paragraph"/>
    <w:basedOn w:val="a"/>
    <w:uiPriority w:val="99"/>
    <w:qFormat/>
    <w:rsid w:val="00CF1BA7"/>
    <w:pPr>
      <w:ind w:left="720"/>
      <w:contextualSpacing/>
    </w:pPr>
  </w:style>
  <w:style w:type="paragraph" w:customStyle="1" w:styleId="ConsPlusNormal">
    <w:name w:val="ConsPlusNormal"/>
    <w:rsid w:val="00CF1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CF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F1BA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CD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D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D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1B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B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B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B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CF1BA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CF1BA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3">
    <w:name w:val="Hyperlink"/>
    <w:uiPriority w:val="99"/>
    <w:semiHidden/>
    <w:unhideWhenUsed/>
    <w:rsid w:val="00CF1B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CF1BA7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a4">
    <w:name w:val="List Paragraph"/>
    <w:basedOn w:val="a"/>
    <w:uiPriority w:val="99"/>
    <w:qFormat/>
    <w:rsid w:val="00CF1BA7"/>
    <w:pPr>
      <w:ind w:left="720"/>
      <w:contextualSpacing/>
    </w:pPr>
  </w:style>
  <w:style w:type="paragraph" w:customStyle="1" w:styleId="ConsPlusNormal">
    <w:name w:val="ConsPlusNormal"/>
    <w:rsid w:val="00CF1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CF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F1BA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CD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D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D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sp-1\Local%20Settings\Temporary%20Internet%20Files\Content.Outlook\YCEP69XN\sfk-sch2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Documents%20and%20Settings\ksp-1\Local%20Settings\Temporary%20Internet%20Files\Content.Outlook\YCEP69XN\sfk-sch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ksp-1\Local%20Settings\Temporary%20Internet%20Files\Content.Outlook\YCEP69XN\sfk-sch2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Сумина Наталья Михайловна</cp:lastModifiedBy>
  <cp:revision>24</cp:revision>
  <cp:lastPrinted>2014-04-10T05:26:00Z</cp:lastPrinted>
  <dcterms:created xsi:type="dcterms:W3CDTF">2013-11-01T02:32:00Z</dcterms:created>
  <dcterms:modified xsi:type="dcterms:W3CDTF">2014-04-10T05:27:00Z</dcterms:modified>
</cp:coreProperties>
</file>