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266A" w:rsidRDefault="004C2FB7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-431755</wp:posOffset>
                </wp:positionV>
                <wp:extent cx="690880" cy="782320"/>
                <wp:effectExtent l="0" t="0" r="0" b="0"/>
                <wp:wrapSquare wrapText="bothSides"/>
                <wp:docPr id="1" name="Рисунок 1" descr="Герб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5132337" name="Picture 1" descr="Герб223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0879" cy="782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93.90pt;mso-position-horizontal:absolute;mso-position-vertical-relative:text;margin-top:-34.00pt;mso-position-vertical:absolute;width:54.40pt;height:61.60pt;mso-wrap-distance-left:9.00pt;mso-wrap-distance-top:0.00pt;mso-wrap-distance-right:9.00pt;mso-wrap-distance-bottom:0.00pt;" stroked="f">
                <v:path textboxrect="0,0,0,0"/>
                <w10:wrap type="square"/>
                <v:imagedata r:id="rId15" o:title=""/>
              </v:shape>
            </w:pict>
          </mc:Fallback>
        </mc:AlternateContent>
      </w:r>
      <w:r>
        <w:br w:type="textWrapping" w:clear="all"/>
      </w:r>
    </w:p>
    <w:p w:rsidR="0093266A" w:rsidRDefault="0093266A">
      <w:pPr>
        <w:pStyle w:val="3"/>
      </w:pPr>
    </w:p>
    <w:p w:rsidR="0093266A" w:rsidRDefault="004C2FB7">
      <w:pPr>
        <w:pStyle w:val="3"/>
      </w:pPr>
      <w:r>
        <w:t>ДУМА ГОРОДА ПОКАЧИ</w:t>
      </w:r>
    </w:p>
    <w:p w:rsidR="0093266A" w:rsidRDefault="004C2FB7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93266A" w:rsidRDefault="004C2FB7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3266A" w:rsidRDefault="004C2FB7">
      <w:pPr>
        <w:pStyle w:val="5"/>
        <w:spacing w:line="360" w:lineRule="auto"/>
        <w:rPr>
          <w:i w:val="0"/>
        </w:rPr>
      </w:pPr>
      <w:r>
        <w:rPr>
          <w:i w:val="0"/>
        </w:rPr>
        <w:t xml:space="preserve">от________________  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№ __</w:t>
      </w:r>
    </w:p>
    <w:p w:rsidR="0093266A" w:rsidRDefault="004C2FB7">
      <w:pPr>
        <w:ind w:right="4678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Об одобрении дополнительного соглашения №1 </w:t>
      </w:r>
      <w:r>
        <w:rPr>
          <w:b/>
          <w:spacing w:val="-4"/>
          <w:sz w:val="26"/>
          <w:szCs w:val="26"/>
        </w:rPr>
        <w:t>о сотрудничестве между муниципальным образованием городской округ Покачи Ханты-Мансийского автономного округа – Югры и обществом с ограниченной ответственностью «ЛУКОЙЛ-Западная Сибирь» в рамках реализации Дополнительного соглашения №2 от 26.02.2025 года к</w:t>
      </w:r>
      <w:r>
        <w:rPr>
          <w:b/>
          <w:spacing w:val="-4"/>
          <w:sz w:val="26"/>
          <w:szCs w:val="26"/>
        </w:rPr>
        <w:t xml:space="preserve"> Соглашению о сотрудничестве между Правительством Ханты-Мансийского автономного округа – Югры и обществом с ограниченной ответственностью «ЛУКОЙЛ – Западная Сибирь» на 2024-2028 годы от 28.02.2024 №2024000881 </w:t>
      </w:r>
    </w:p>
    <w:p w:rsidR="0093266A" w:rsidRDefault="0093266A">
      <w:pPr>
        <w:ind w:right="4678"/>
        <w:jc w:val="both"/>
        <w:rPr>
          <w:b/>
          <w:spacing w:val="-4"/>
          <w:sz w:val="26"/>
          <w:szCs w:val="26"/>
        </w:rPr>
      </w:pPr>
    </w:p>
    <w:p w:rsidR="0093266A" w:rsidRDefault="0093266A">
      <w:pPr>
        <w:ind w:right="4678"/>
        <w:jc w:val="both"/>
        <w:rPr>
          <w:b/>
          <w:spacing w:val="-4"/>
          <w:sz w:val="26"/>
          <w:szCs w:val="26"/>
        </w:rPr>
      </w:pPr>
    </w:p>
    <w:p w:rsidR="0093266A" w:rsidRDefault="004C2FB7">
      <w:pPr>
        <w:ind w:firstLine="709"/>
        <w:jc w:val="both"/>
        <w:rPr>
          <w:color w:val="FF0000"/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 целях реализации на территории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муниципальн</w:t>
      </w:r>
      <w:r>
        <w:rPr>
          <w:spacing w:val="-4"/>
          <w:sz w:val="26"/>
          <w:szCs w:val="26"/>
        </w:rPr>
        <w:t>ого образования городской округ Покачи Ханты-Мансийского автономного округа – Югры Дополнительного соглашения №2 от 26.02.2025 к Соглашению о сотрудничестве между Правительством Ханты-Мансийского автономного округа – Югры и ПАО «ЛУКОЙЛ» на 2024-2028 годы о</w:t>
      </w:r>
      <w:r>
        <w:rPr>
          <w:spacing w:val="-4"/>
          <w:sz w:val="26"/>
          <w:szCs w:val="26"/>
        </w:rPr>
        <w:t xml:space="preserve">т 28.02.2024 №2024000881 в части финансирования обществом с ограниченной ответственностью «ЛУКОЙЛ – Западная Сибирь» выполнения работ по покраске, ремонту фасадов зданий, находящихся на территории города Покачи и на выполнения работ на объекте </w:t>
      </w:r>
      <w:r>
        <w:rPr>
          <w:sz w:val="26"/>
          <w:szCs w:val="26"/>
        </w:rPr>
        <w:t>«Буксировочн</w:t>
      </w:r>
      <w:r>
        <w:rPr>
          <w:sz w:val="26"/>
          <w:szCs w:val="26"/>
        </w:rPr>
        <w:t>ая канатная дорога (БКД) с двухместными буксировочными устройствами (БКД) для Покачевского спортивного комплекса, Ханты-Мансийского автономного округа – Югра».</w:t>
      </w:r>
    </w:p>
    <w:p w:rsidR="0093266A" w:rsidRDefault="0093266A">
      <w:pPr>
        <w:ind w:firstLine="709"/>
        <w:jc w:val="both"/>
        <w:rPr>
          <w:b/>
          <w:bCs/>
          <w:spacing w:val="-4"/>
          <w:sz w:val="26"/>
          <w:szCs w:val="26"/>
        </w:rPr>
      </w:pPr>
    </w:p>
    <w:p w:rsidR="0093266A" w:rsidRDefault="004C2FB7">
      <w:pPr>
        <w:ind w:firstLine="709"/>
        <w:jc w:val="center"/>
        <w:rPr>
          <w:b/>
          <w:bCs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РЕШИЛА:</w:t>
      </w:r>
    </w:p>
    <w:p w:rsidR="0093266A" w:rsidRDefault="0093266A">
      <w:pPr>
        <w:jc w:val="center"/>
        <w:rPr>
          <w:spacing w:val="-4"/>
          <w:sz w:val="26"/>
          <w:szCs w:val="26"/>
        </w:rPr>
      </w:pPr>
    </w:p>
    <w:p w:rsidR="0093266A" w:rsidRDefault="004C2FB7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1. Одобрить проект дополнительного соглашения №1 к соглашению о сотрудничестве между м</w:t>
      </w:r>
      <w:r>
        <w:rPr>
          <w:spacing w:val="-4"/>
          <w:sz w:val="26"/>
          <w:szCs w:val="26"/>
        </w:rPr>
        <w:t>униципальным образованием городской округ Покачи Ханты-Мансийского автономного округа – Югры и обществом с ограниченной ответственностью «ЛУКОЙЛ-Западная Сибирь» в рамках реализации Дополнительного соглашения №2 от 26.02.2025 года к Соглашению о сотрудниче</w:t>
      </w:r>
      <w:r>
        <w:rPr>
          <w:spacing w:val="-4"/>
          <w:sz w:val="26"/>
          <w:szCs w:val="26"/>
        </w:rPr>
        <w:t xml:space="preserve">стве между Правительством Ханты-Мансийского автономного округа – Югры и обществом с ограниченной ответственностью «ЛУКОЙЛ – Западная Сибирь» на </w:t>
      </w:r>
      <w:r>
        <w:rPr>
          <w:spacing w:val="-4"/>
          <w:sz w:val="26"/>
          <w:szCs w:val="26"/>
        </w:rPr>
        <w:lastRenderedPageBreak/>
        <w:t>2024-2028 годы от 28.02.2024 №2024000881 согласно приложению к настоящему решению.</w:t>
      </w:r>
    </w:p>
    <w:p w:rsidR="0093266A" w:rsidRDefault="004C2FB7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2. Настоящее решение вступает</w:t>
      </w:r>
      <w:r>
        <w:rPr>
          <w:spacing w:val="-4"/>
          <w:sz w:val="26"/>
          <w:szCs w:val="26"/>
        </w:rPr>
        <w:t xml:space="preserve"> в силу со дня подписания и распространяет свое действие на правоотношение, возникшее с 18.04.2025.</w:t>
      </w:r>
    </w:p>
    <w:p w:rsidR="0093266A" w:rsidRDefault="004C2FB7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3. Контроль за выполнением решения возложить на постоянную комиссию Думы города Покачи по бюджету, налогам, финансовым вопросами и соблюдению законности (пр</w:t>
      </w:r>
      <w:r>
        <w:rPr>
          <w:spacing w:val="-4"/>
          <w:sz w:val="26"/>
          <w:szCs w:val="26"/>
        </w:rPr>
        <w:t>едседатель А.А. Руденко).</w:t>
      </w:r>
    </w:p>
    <w:p w:rsidR="0093266A" w:rsidRDefault="0093266A">
      <w:pPr>
        <w:ind w:firstLine="709"/>
        <w:jc w:val="both"/>
        <w:rPr>
          <w:spacing w:val="-4"/>
        </w:rPr>
      </w:pPr>
    </w:p>
    <w:p w:rsidR="0093266A" w:rsidRDefault="004C2FB7">
      <w:pPr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Председатель </w:t>
      </w:r>
    </w:p>
    <w:p w:rsidR="0093266A" w:rsidRDefault="004C2FB7">
      <w:pPr>
        <w:jc w:val="both"/>
        <w:rPr>
          <w:spacing w:val="-4"/>
          <w:sz w:val="20"/>
          <w:szCs w:val="20"/>
        </w:rPr>
      </w:pPr>
      <w:r>
        <w:rPr>
          <w:b/>
          <w:spacing w:val="-4"/>
          <w:sz w:val="26"/>
          <w:szCs w:val="26"/>
        </w:rPr>
        <w:t>Думы города Покачи</w:t>
      </w:r>
      <w:r>
        <w:rPr>
          <w:b/>
          <w:spacing w:val="-4"/>
          <w:sz w:val="26"/>
          <w:szCs w:val="26"/>
        </w:rPr>
        <w:tab/>
      </w:r>
      <w:r>
        <w:rPr>
          <w:b/>
          <w:spacing w:val="-4"/>
          <w:sz w:val="26"/>
          <w:szCs w:val="26"/>
        </w:rPr>
        <w:tab/>
        <w:t xml:space="preserve">                                                                  </w:t>
      </w:r>
      <w:r>
        <w:rPr>
          <w:b/>
          <w:color w:val="000000" w:themeColor="text1"/>
          <w:spacing w:val="-4"/>
          <w:sz w:val="26"/>
          <w:szCs w:val="26"/>
        </w:rPr>
        <w:t>А.С. Руденко</w:t>
      </w:r>
      <w:r>
        <w:rPr>
          <w:spacing w:val="-4"/>
          <w:sz w:val="20"/>
          <w:szCs w:val="20"/>
        </w:rPr>
        <w:t xml:space="preserve">                  </w:t>
      </w: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4C2FB7">
      <w:pPr>
        <w:jc w:val="both"/>
        <w:rPr>
          <w:sz w:val="22"/>
          <w:szCs w:val="22"/>
        </w:rPr>
      </w:pPr>
      <w:r>
        <w:rPr>
          <w:sz w:val="22"/>
          <w:szCs w:val="22"/>
        </w:rPr>
        <w:t>Принято Думой города Покачи</w:t>
      </w:r>
    </w:p>
    <w:p w:rsidR="0093266A" w:rsidRDefault="004C2FB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spacing w:after="200" w:line="276" w:lineRule="auto"/>
        <w:rPr>
          <w:spacing w:val="-4"/>
          <w:sz w:val="20"/>
          <w:szCs w:val="20"/>
        </w:rPr>
      </w:pPr>
    </w:p>
    <w:p w:rsidR="0093266A" w:rsidRDefault="0093266A">
      <w:pPr>
        <w:ind w:left="5670"/>
        <w:rPr>
          <w:spacing w:val="-4"/>
          <w:sz w:val="22"/>
          <w:szCs w:val="22"/>
        </w:rPr>
      </w:pPr>
    </w:p>
    <w:p w:rsidR="0093266A" w:rsidRDefault="0093266A">
      <w:pPr>
        <w:ind w:left="5670"/>
        <w:rPr>
          <w:spacing w:val="-4"/>
          <w:sz w:val="22"/>
          <w:szCs w:val="22"/>
        </w:rPr>
      </w:pPr>
    </w:p>
    <w:p w:rsidR="0093266A" w:rsidRDefault="0093266A">
      <w:pPr>
        <w:ind w:left="5670"/>
        <w:rPr>
          <w:spacing w:val="-4"/>
          <w:sz w:val="22"/>
          <w:szCs w:val="22"/>
        </w:rPr>
      </w:pPr>
    </w:p>
    <w:p w:rsidR="0093266A" w:rsidRDefault="0093266A">
      <w:pPr>
        <w:ind w:left="5670"/>
        <w:rPr>
          <w:spacing w:val="-4"/>
          <w:sz w:val="22"/>
          <w:szCs w:val="22"/>
        </w:rPr>
      </w:pPr>
    </w:p>
    <w:p w:rsidR="0093266A" w:rsidRDefault="004C2FB7">
      <w:pPr>
        <w:ind w:left="5670"/>
        <w:rPr>
          <w:spacing w:val="-4"/>
          <w:sz w:val="22"/>
          <w:szCs w:val="22"/>
        </w:rPr>
      </w:pPr>
      <w:r>
        <w:rPr>
          <w:spacing w:val="-4"/>
          <w:sz w:val="22"/>
        </w:rPr>
        <w:t xml:space="preserve">Приложение </w:t>
      </w:r>
    </w:p>
    <w:p w:rsidR="0093266A" w:rsidRDefault="004C2FB7">
      <w:pPr>
        <w:ind w:left="5670"/>
        <w:rPr>
          <w:spacing w:val="-4"/>
          <w:sz w:val="22"/>
        </w:rPr>
      </w:pPr>
      <w:r>
        <w:rPr>
          <w:spacing w:val="-4"/>
          <w:sz w:val="22"/>
        </w:rPr>
        <w:t>к решению Думы города Покачи</w:t>
      </w:r>
    </w:p>
    <w:p w:rsidR="0093266A" w:rsidRDefault="004C2FB7">
      <w:pPr>
        <w:ind w:left="5670"/>
        <w:rPr>
          <w:spacing w:val="-4"/>
          <w:sz w:val="22"/>
        </w:rPr>
      </w:pPr>
      <w:r>
        <w:rPr>
          <w:spacing w:val="-4"/>
          <w:sz w:val="22"/>
        </w:rPr>
        <w:t>от ____________ №__________</w:t>
      </w:r>
    </w:p>
    <w:p w:rsidR="0093266A" w:rsidRDefault="0093266A">
      <w:pPr>
        <w:spacing w:after="200" w:line="276" w:lineRule="auto"/>
        <w:rPr>
          <w:spacing w:val="-4"/>
          <w:sz w:val="18"/>
          <w:szCs w:val="20"/>
        </w:rPr>
      </w:pPr>
    </w:p>
    <w:p w:rsidR="0093266A" w:rsidRDefault="004C2FB7">
      <w:pPr>
        <w:jc w:val="center"/>
        <w:rPr>
          <w:b/>
          <w:sz w:val="22"/>
        </w:rPr>
      </w:pPr>
      <w:r>
        <w:rPr>
          <w:b/>
          <w:sz w:val="22"/>
        </w:rPr>
        <w:t xml:space="preserve">Дополнительное соглашение №1 </w:t>
      </w:r>
    </w:p>
    <w:p w:rsidR="0093266A" w:rsidRDefault="004C2FB7">
      <w:pPr>
        <w:jc w:val="center"/>
        <w:rPr>
          <w:spacing w:val="-4"/>
          <w:sz w:val="22"/>
          <w:szCs w:val="22"/>
        </w:rPr>
      </w:pPr>
      <w:r>
        <w:rPr>
          <w:sz w:val="22"/>
        </w:rPr>
        <w:t>к соглашению о сотрудничестве между муниципальным образованием городской округ Покачи Ханты-Мансийского автономного округа – Югры и обществом с ограниченной ответственн</w:t>
      </w:r>
      <w:r>
        <w:rPr>
          <w:sz w:val="22"/>
        </w:rPr>
        <w:t xml:space="preserve">остью «ЛУКОЙЛ-Западная Сибирь», </w:t>
      </w:r>
      <w:r>
        <w:rPr>
          <w:spacing w:val="-4"/>
          <w:sz w:val="22"/>
        </w:rPr>
        <w:t>в рамках реализации Дополнительного соглашения №2 от 26.02.2025 к Соглашению о сотрудничестве между Правительством Ханты-Мансийского автономного округа – Югры и ПАО «ЛУКОЙЛ» на 2024-2028 годы от 28.02.2024 №2024000881</w:t>
      </w:r>
    </w:p>
    <w:p w:rsidR="0093266A" w:rsidRDefault="0093266A">
      <w:pPr>
        <w:jc w:val="center"/>
        <w:rPr>
          <w:spacing w:val="-4"/>
          <w:sz w:val="22"/>
          <w:szCs w:val="22"/>
        </w:rPr>
      </w:pPr>
    </w:p>
    <w:p w:rsidR="0093266A" w:rsidRDefault="004C2FB7">
      <w:pPr>
        <w:jc w:val="both"/>
        <w:rPr>
          <w:sz w:val="22"/>
          <w:szCs w:val="22"/>
        </w:rPr>
      </w:pPr>
      <w:r>
        <w:rPr>
          <w:sz w:val="22"/>
        </w:rPr>
        <w:t>г. По</w:t>
      </w:r>
      <w:r>
        <w:rPr>
          <w:sz w:val="22"/>
        </w:rPr>
        <w:t>качи</w:t>
      </w:r>
    </w:p>
    <w:p w:rsidR="0093266A" w:rsidRDefault="004C2FB7">
      <w:pPr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>
        <w:rPr>
          <w:sz w:val="22"/>
        </w:rPr>
        <w:tab/>
        <w:t xml:space="preserve">   </w:t>
      </w:r>
    </w:p>
    <w:p w:rsidR="0093266A" w:rsidRDefault="004C2FB7">
      <w:pPr>
        <w:jc w:val="both"/>
        <w:rPr>
          <w:spacing w:val="-4"/>
          <w:sz w:val="22"/>
        </w:rPr>
      </w:pPr>
      <w:r>
        <w:rPr>
          <w:sz w:val="22"/>
        </w:rPr>
        <w:t>Муниципальное образование городской округ Покачи Ханты-Мансийского автономного округа – Югры (далее – город Покачи), в лице главы города Покачи Таненкова Виктора Львовича, действующего на основании Устава города П</w:t>
      </w:r>
      <w:r>
        <w:rPr>
          <w:sz w:val="22"/>
        </w:rPr>
        <w:t>окачи и общество с ограниченной ответственностью «ЛУКОЙЛ - Западная Сибирь», в лице директора Территориально-производственного предприятия «Покачевнефтегаз» Ямлихина Радика Ринатовича, действующего на основании Положения о ТПП «Покачевнефтегаз» и доверенно</w:t>
      </w:r>
      <w:r>
        <w:rPr>
          <w:sz w:val="22"/>
        </w:rPr>
        <w:t xml:space="preserve">сти № 86/71-н/86-2024-1-445 от 18.04.2024, далее вместе именуемые «Стороны», заключили настоящее дополнительное соглашение (далее – дополнительное соглашение) </w:t>
      </w:r>
      <w:r>
        <w:rPr>
          <w:spacing w:val="-4"/>
          <w:sz w:val="22"/>
        </w:rPr>
        <w:t>к соглашению о сотрудничестве между муниципальным образованием городской округ Покачи Ханты-Манси</w:t>
      </w:r>
      <w:r>
        <w:rPr>
          <w:spacing w:val="-4"/>
          <w:sz w:val="22"/>
        </w:rPr>
        <w:t>йского автономного округа – Югры и обществом с ограниченной ответственностью «ЛУКОЙЛ-Западная Сибирь», в рамках реализации Дополнительного соглашения №2 от 26.02.2025 к Соглашению о сотрудничестве между Правительством Ханты-Мансийского автономного округа –</w:t>
      </w:r>
      <w:r>
        <w:rPr>
          <w:spacing w:val="-4"/>
          <w:sz w:val="22"/>
        </w:rPr>
        <w:t xml:space="preserve"> Югры и ПАО «ЛУКОЙЛ» на 2024-2028 годы от 28.02.2024 №2024000881о нижеследующем:</w:t>
      </w:r>
    </w:p>
    <w:p w:rsidR="0093266A" w:rsidRDefault="004C2FB7">
      <w:pPr>
        <w:pStyle w:val="af7"/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Внести в соглашение о сотрудничестве между муниципальным образованием городской округ Покачи Ханты-Мансийского автономного округа – Югры и обществом с ограниченной ответственн</w:t>
      </w:r>
      <w:r>
        <w:rPr>
          <w:sz w:val="22"/>
        </w:rPr>
        <w:t>остью «ЛУКОЙЛ-Западная Сибирь», в рамках реализации Дополнительного соглашения №2 от 26.02.2025 к Соглашению о сотрудничестве между Правительством Ханты-Мансийского автономного округа – Югры и ПАО «ЛУКОЙЛ» на 2024-2028 годы от 28.02.2024 №2024000881 (далее</w:t>
      </w:r>
      <w:r>
        <w:rPr>
          <w:sz w:val="22"/>
        </w:rPr>
        <w:t xml:space="preserve"> – Соглашение) следующие изменения:</w:t>
      </w:r>
    </w:p>
    <w:p w:rsidR="0093266A" w:rsidRDefault="004C2FB7">
      <w:pPr>
        <w:pStyle w:val="af7"/>
        <w:numPr>
          <w:ilvl w:val="0"/>
          <w:numId w:val="3"/>
        </w:numPr>
        <w:ind w:left="0" w:firstLine="709"/>
        <w:jc w:val="both"/>
        <w:rPr>
          <w:spacing w:val="-4"/>
          <w:sz w:val="22"/>
        </w:rPr>
      </w:pPr>
      <w:r>
        <w:rPr>
          <w:sz w:val="22"/>
        </w:rPr>
        <w:t xml:space="preserve">пункт 1.2. </w:t>
      </w:r>
      <w:r>
        <w:rPr>
          <w:spacing w:val="-4"/>
          <w:sz w:val="22"/>
        </w:rPr>
        <w:t>Соглашения изложить в следующей редакции:</w:t>
      </w:r>
    </w:p>
    <w:p w:rsidR="0093266A" w:rsidRDefault="004C2FB7">
      <w:pPr>
        <w:ind w:firstLine="709"/>
        <w:jc w:val="both"/>
        <w:rPr>
          <w:sz w:val="22"/>
        </w:rPr>
      </w:pPr>
      <w:r>
        <w:rPr>
          <w:sz w:val="22"/>
        </w:rPr>
        <w:t>«1.2</w:t>
      </w:r>
      <w:r>
        <w:rPr>
          <w:color w:val="000000" w:themeColor="text1"/>
          <w:sz w:val="22"/>
        </w:rPr>
        <w:t xml:space="preserve">. Принимает на себя </w:t>
      </w:r>
      <w:r>
        <w:rPr>
          <w:b/>
          <w:color w:val="000000" w:themeColor="text1"/>
          <w:sz w:val="22"/>
        </w:rPr>
        <w:t xml:space="preserve">муниципальное учреждение «Управление капитального строительства» </w:t>
      </w:r>
      <w:r>
        <w:rPr>
          <w:sz w:val="22"/>
        </w:rPr>
        <w:t>по договору подряда</w:t>
      </w:r>
      <w:r>
        <w:rPr>
          <w:spacing w:val="-4"/>
          <w:sz w:val="22"/>
        </w:rPr>
        <w:t xml:space="preserve"> от 02.04.2025 №02 на выполнение шеф-монтажных и пусконалад</w:t>
      </w:r>
      <w:r>
        <w:rPr>
          <w:spacing w:val="-4"/>
          <w:sz w:val="22"/>
        </w:rPr>
        <w:t xml:space="preserve">очных работ на объекте: </w:t>
      </w:r>
      <w:r>
        <w:rPr>
          <w:sz w:val="22"/>
        </w:rPr>
        <w:t>«Буксировочная канатная дорога (БКД) с двухместными буксировочными устройствами (БКД) для Покачевского спортивного комплекса, Ханты-Мансийского автономного округа – Югра»;</w:t>
      </w:r>
    </w:p>
    <w:p w:rsidR="0093266A" w:rsidRDefault="004C2FB7">
      <w:pPr>
        <w:ind w:firstLine="709"/>
        <w:jc w:val="both"/>
        <w:rPr>
          <w:spacing w:val="-4"/>
          <w:sz w:val="22"/>
        </w:rPr>
      </w:pPr>
      <w:r>
        <w:rPr>
          <w:spacing w:val="-4"/>
          <w:sz w:val="22"/>
        </w:rPr>
        <w:t xml:space="preserve">2) дополнить Соглашение пунктом 1.3. следующего содержания: </w:t>
      </w:r>
    </w:p>
    <w:p w:rsidR="0093266A" w:rsidRDefault="004C2FB7">
      <w:pPr>
        <w:ind w:firstLine="709"/>
        <w:jc w:val="both"/>
        <w:rPr>
          <w:sz w:val="22"/>
        </w:rPr>
      </w:pPr>
      <w:r>
        <w:rPr>
          <w:spacing w:val="-4"/>
          <w:sz w:val="22"/>
        </w:rPr>
        <w:t>«</w:t>
      </w:r>
      <w:r>
        <w:rPr>
          <w:sz w:val="22"/>
        </w:rPr>
        <w:t xml:space="preserve">1.3. </w:t>
      </w:r>
      <w:r>
        <w:rPr>
          <w:color w:val="000000" w:themeColor="text1"/>
          <w:sz w:val="22"/>
        </w:rPr>
        <w:t xml:space="preserve">Принимает на себя </w:t>
      </w:r>
      <w:r>
        <w:rPr>
          <w:b/>
          <w:color w:val="000000" w:themeColor="text1"/>
          <w:sz w:val="22"/>
        </w:rPr>
        <w:t xml:space="preserve">муниципальное учреждение «Управление капитального строительства» </w:t>
      </w:r>
      <w:r>
        <w:rPr>
          <w:color w:val="000000" w:themeColor="text1"/>
          <w:sz w:val="22"/>
        </w:rPr>
        <w:t xml:space="preserve">по договору подряда от 07.04.2025 №03 на выполнение строительно-монтажных работ на объекте: </w:t>
      </w:r>
      <w:r>
        <w:rPr>
          <w:sz w:val="22"/>
        </w:rPr>
        <w:t>«Буксировочная канатная дорога (БКД) с двухместными буксировочными устройс</w:t>
      </w:r>
      <w:r>
        <w:rPr>
          <w:sz w:val="22"/>
        </w:rPr>
        <w:t>твами (БКД) для Покачевского спортивного комплекса, Ханты-Мансийского автономного округа – Югра».</w:t>
      </w:r>
    </w:p>
    <w:p w:rsidR="0093266A" w:rsidRDefault="004C2FB7">
      <w:pPr>
        <w:ind w:firstLine="709"/>
        <w:jc w:val="both"/>
        <w:rPr>
          <w:sz w:val="22"/>
        </w:rPr>
      </w:pPr>
      <w:r>
        <w:rPr>
          <w:sz w:val="22"/>
        </w:rPr>
        <w:t>2. Настоящее дополнительное соглашение составлено в двух экземплярах, по одному экземпляру для каждой из сторон на 2 листах.</w:t>
      </w:r>
    </w:p>
    <w:p w:rsidR="0093266A" w:rsidRDefault="004C2FB7">
      <w:pPr>
        <w:ind w:firstLine="709"/>
        <w:jc w:val="both"/>
        <w:rPr>
          <w:sz w:val="22"/>
        </w:rPr>
      </w:pPr>
      <w:r>
        <w:rPr>
          <w:color w:val="000000" w:themeColor="text1"/>
          <w:sz w:val="22"/>
        </w:rPr>
        <w:t xml:space="preserve">3. </w:t>
      </w:r>
      <w:r>
        <w:rPr>
          <w:sz w:val="22"/>
        </w:rPr>
        <w:t>Настоящее дополнительное согла</w:t>
      </w:r>
      <w:r>
        <w:rPr>
          <w:sz w:val="22"/>
        </w:rPr>
        <w:t>шение вступает в силу с даты его подписания обеими сторонами и действует до полного исполнения Сторонами своих обязательств по Соглашению.</w:t>
      </w:r>
    </w:p>
    <w:p w:rsidR="0093266A" w:rsidRDefault="0093266A">
      <w:pPr>
        <w:rPr>
          <w:sz w:val="22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266A">
        <w:tc>
          <w:tcPr>
            <w:tcW w:w="4785" w:type="dxa"/>
          </w:tcPr>
          <w:p w:rsidR="0093266A" w:rsidRDefault="004C2FB7">
            <w:pPr>
              <w:rPr>
                <w:sz w:val="22"/>
              </w:rPr>
            </w:pPr>
            <w:r>
              <w:rPr>
                <w:sz w:val="22"/>
              </w:rPr>
              <w:t xml:space="preserve">Муниципальное образование городской округ Покачи Ханты-Мансийского автономного округа – Югры </w:t>
            </w:r>
          </w:p>
          <w:p w:rsidR="0093266A" w:rsidRDefault="0093266A">
            <w:pPr>
              <w:rPr>
                <w:sz w:val="22"/>
              </w:rPr>
            </w:pPr>
          </w:p>
          <w:p w:rsidR="0093266A" w:rsidRDefault="004C2FB7">
            <w:pPr>
              <w:rPr>
                <w:sz w:val="22"/>
              </w:rPr>
            </w:pPr>
            <w:r>
              <w:rPr>
                <w:sz w:val="22"/>
              </w:rPr>
              <w:t>Глава города Покачи</w:t>
            </w:r>
          </w:p>
          <w:p w:rsidR="0093266A" w:rsidRDefault="0093266A">
            <w:pPr>
              <w:rPr>
                <w:sz w:val="22"/>
              </w:rPr>
            </w:pPr>
          </w:p>
        </w:tc>
        <w:tc>
          <w:tcPr>
            <w:tcW w:w="4785" w:type="dxa"/>
          </w:tcPr>
          <w:p w:rsidR="0093266A" w:rsidRDefault="004C2FB7">
            <w:pPr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«ЛУКОЙЛ - Западная Сибирь»</w:t>
            </w:r>
          </w:p>
          <w:p w:rsidR="0093266A" w:rsidRDefault="0093266A">
            <w:pPr>
              <w:rPr>
                <w:sz w:val="22"/>
              </w:rPr>
            </w:pPr>
          </w:p>
          <w:p w:rsidR="0093266A" w:rsidRDefault="004C2FB7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  <w:p w:rsidR="0093266A" w:rsidRDefault="004C2FB7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Директор ТПП «Покачевнефтегаз»</w:t>
            </w:r>
          </w:p>
          <w:p w:rsidR="0093266A" w:rsidRDefault="0093266A">
            <w:pPr>
              <w:rPr>
                <w:sz w:val="22"/>
              </w:rPr>
            </w:pPr>
          </w:p>
        </w:tc>
      </w:tr>
      <w:tr w:rsidR="0093266A">
        <w:tc>
          <w:tcPr>
            <w:tcW w:w="4785" w:type="dxa"/>
          </w:tcPr>
          <w:p w:rsidR="0093266A" w:rsidRDefault="004C2FB7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  <w:r>
              <w:rPr>
                <w:b/>
                <w:sz w:val="22"/>
              </w:rPr>
              <w:t>В.Л. Таненков</w:t>
            </w:r>
          </w:p>
        </w:tc>
        <w:tc>
          <w:tcPr>
            <w:tcW w:w="4785" w:type="dxa"/>
          </w:tcPr>
          <w:p w:rsidR="0093266A" w:rsidRDefault="004C2FB7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_________________ </w:t>
            </w:r>
            <w:r>
              <w:rPr>
                <w:b/>
                <w:sz w:val="22"/>
              </w:rPr>
              <w:t>Р.Р. Ямлихин</w:t>
            </w:r>
          </w:p>
        </w:tc>
      </w:tr>
    </w:tbl>
    <w:p w:rsidR="0093266A" w:rsidRDefault="0093266A">
      <w:pPr>
        <w:spacing w:after="200" w:line="276" w:lineRule="auto"/>
        <w:rPr>
          <w:spacing w:val="-4"/>
          <w:sz w:val="18"/>
          <w:szCs w:val="20"/>
        </w:rPr>
      </w:pPr>
    </w:p>
    <w:sectPr w:rsidR="009326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284" w:right="567" w:bottom="709" w:left="1985" w:header="13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6A" w:rsidRDefault="004C2FB7">
      <w:r>
        <w:separator/>
      </w:r>
    </w:p>
  </w:endnote>
  <w:endnote w:type="continuationSeparator" w:id="0">
    <w:p w:rsidR="0093266A" w:rsidRDefault="004C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6A" w:rsidRDefault="0093266A">
    <w:pPr>
      <w:pStyle w:val="afc"/>
      <w:jc w:val="right"/>
    </w:pPr>
  </w:p>
  <w:p w:rsidR="0093266A" w:rsidRDefault="0093266A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6A" w:rsidRDefault="0093266A">
    <w:pPr>
      <w:pStyle w:val="afc"/>
      <w:jc w:val="right"/>
    </w:pPr>
  </w:p>
  <w:p w:rsidR="0093266A" w:rsidRDefault="0093266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6A" w:rsidRDefault="004C2FB7">
      <w:r>
        <w:separator/>
      </w:r>
    </w:p>
  </w:footnote>
  <w:footnote w:type="continuationSeparator" w:id="0">
    <w:p w:rsidR="0093266A" w:rsidRDefault="004C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53404"/>
      <w:docPartObj>
        <w:docPartGallery w:val="Page Numbers (Top of Page)"/>
        <w:docPartUnique/>
      </w:docPartObj>
    </w:sdtPr>
    <w:sdtEndPr/>
    <w:sdtContent>
      <w:p w:rsidR="0093266A" w:rsidRDefault="004C2FB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3266A" w:rsidRDefault="0093266A">
    <w:pPr>
      <w:pStyle w:val="afa"/>
      <w:tabs>
        <w:tab w:val="clear" w:pos="4677"/>
        <w:tab w:val="clear" w:pos="9355"/>
        <w:tab w:val="left" w:pos="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685078"/>
      <w:docPartObj>
        <w:docPartGallery w:val="Page Numbers (Top of Page)"/>
        <w:docPartUnique/>
      </w:docPartObj>
    </w:sdtPr>
    <w:sdtEndPr/>
    <w:sdtContent>
      <w:p w:rsidR="0093266A" w:rsidRDefault="004C2FB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3266A" w:rsidRDefault="0093266A">
    <w:pPr>
      <w:pStyle w:val="af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6A" w:rsidRDefault="004C2FB7">
    <w:pPr>
      <w:jc w:val="right"/>
      <w:rPr>
        <w:i/>
      </w:rPr>
    </w:pPr>
    <w:r>
      <w:rPr>
        <w:i/>
      </w:rPr>
      <w:t>Проект решения Думы города Покачи</w:t>
    </w:r>
  </w:p>
  <w:p w:rsidR="0093266A" w:rsidRDefault="004C2FB7">
    <w:pPr>
      <w:jc w:val="right"/>
    </w:pPr>
    <w:r>
      <w:rPr>
        <w:i/>
      </w:rPr>
      <w:t>вносится главой города Покачи</w:t>
    </w:r>
  </w:p>
  <w:p w:rsidR="0093266A" w:rsidRDefault="0093266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101"/>
    <w:multiLevelType w:val="hybridMultilevel"/>
    <w:tmpl w:val="B0C4D87C"/>
    <w:lvl w:ilvl="0" w:tplc="C58AE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14C050A">
      <w:start w:val="1"/>
      <w:numFmt w:val="lowerLetter"/>
      <w:lvlText w:val="%2."/>
      <w:lvlJc w:val="left"/>
      <w:pPr>
        <w:ind w:left="1789" w:hanging="360"/>
      </w:pPr>
    </w:lvl>
    <w:lvl w:ilvl="2" w:tplc="CE02996C">
      <w:start w:val="1"/>
      <w:numFmt w:val="lowerRoman"/>
      <w:lvlText w:val="%3."/>
      <w:lvlJc w:val="right"/>
      <w:pPr>
        <w:ind w:left="2509" w:hanging="180"/>
      </w:pPr>
    </w:lvl>
    <w:lvl w:ilvl="3" w:tplc="4950E9C6">
      <w:start w:val="1"/>
      <w:numFmt w:val="decimal"/>
      <w:lvlText w:val="%4."/>
      <w:lvlJc w:val="left"/>
      <w:pPr>
        <w:ind w:left="3229" w:hanging="360"/>
      </w:pPr>
    </w:lvl>
    <w:lvl w:ilvl="4" w:tplc="1992489C">
      <w:start w:val="1"/>
      <w:numFmt w:val="lowerLetter"/>
      <w:lvlText w:val="%5."/>
      <w:lvlJc w:val="left"/>
      <w:pPr>
        <w:ind w:left="3949" w:hanging="360"/>
      </w:pPr>
    </w:lvl>
    <w:lvl w:ilvl="5" w:tplc="F6A83A3E">
      <w:start w:val="1"/>
      <w:numFmt w:val="lowerRoman"/>
      <w:lvlText w:val="%6."/>
      <w:lvlJc w:val="right"/>
      <w:pPr>
        <w:ind w:left="4669" w:hanging="180"/>
      </w:pPr>
    </w:lvl>
    <w:lvl w:ilvl="6" w:tplc="F020AECC">
      <w:start w:val="1"/>
      <w:numFmt w:val="decimal"/>
      <w:lvlText w:val="%7."/>
      <w:lvlJc w:val="left"/>
      <w:pPr>
        <w:ind w:left="5389" w:hanging="360"/>
      </w:pPr>
    </w:lvl>
    <w:lvl w:ilvl="7" w:tplc="51A0E27E">
      <w:start w:val="1"/>
      <w:numFmt w:val="lowerLetter"/>
      <w:lvlText w:val="%8."/>
      <w:lvlJc w:val="left"/>
      <w:pPr>
        <w:ind w:left="6109" w:hanging="360"/>
      </w:pPr>
    </w:lvl>
    <w:lvl w:ilvl="8" w:tplc="8676EBF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2245D9"/>
    <w:multiLevelType w:val="hybridMultilevel"/>
    <w:tmpl w:val="C41AB24E"/>
    <w:lvl w:ilvl="0" w:tplc="F3409764">
      <w:start w:val="1"/>
      <w:numFmt w:val="decimal"/>
      <w:lvlText w:val="%1)"/>
      <w:lvlJc w:val="left"/>
      <w:pPr>
        <w:ind w:left="1069" w:hanging="360"/>
      </w:pPr>
      <w:rPr>
        <w:rFonts w:hint="default"/>
        <w:sz w:val="23"/>
      </w:rPr>
    </w:lvl>
    <w:lvl w:ilvl="1" w:tplc="5C28F4D0">
      <w:start w:val="1"/>
      <w:numFmt w:val="lowerLetter"/>
      <w:lvlText w:val="%2."/>
      <w:lvlJc w:val="left"/>
      <w:pPr>
        <w:ind w:left="1789" w:hanging="360"/>
      </w:pPr>
    </w:lvl>
    <w:lvl w:ilvl="2" w:tplc="6E54FEBE">
      <w:start w:val="1"/>
      <w:numFmt w:val="lowerRoman"/>
      <w:lvlText w:val="%3."/>
      <w:lvlJc w:val="right"/>
      <w:pPr>
        <w:ind w:left="2509" w:hanging="180"/>
      </w:pPr>
    </w:lvl>
    <w:lvl w:ilvl="3" w:tplc="5CCA22A0">
      <w:start w:val="1"/>
      <w:numFmt w:val="decimal"/>
      <w:lvlText w:val="%4."/>
      <w:lvlJc w:val="left"/>
      <w:pPr>
        <w:ind w:left="3229" w:hanging="360"/>
      </w:pPr>
    </w:lvl>
    <w:lvl w:ilvl="4" w:tplc="AADEB708">
      <w:start w:val="1"/>
      <w:numFmt w:val="lowerLetter"/>
      <w:lvlText w:val="%5."/>
      <w:lvlJc w:val="left"/>
      <w:pPr>
        <w:ind w:left="3949" w:hanging="360"/>
      </w:pPr>
    </w:lvl>
    <w:lvl w:ilvl="5" w:tplc="1FBE0492">
      <w:start w:val="1"/>
      <w:numFmt w:val="lowerRoman"/>
      <w:lvlText w:val="%6."/>
      <w:lvlJc w:val="right"/>
      <w:pPr>
        <w:ind w:left="4669" w:hanging="180"/>
      </w:pPr>
    </w:lvl>
    <w:lvl w:ilvl="6" w:tplc="93C8FCD0">
      <w:start w:val="1"/>
      <w:numFmt w:val="decimal"/>
      <w:lvlText w:val="%7."/>
      <w:lvlJc w:val="left"/>
      <w:pPr>
        <w:ind w:left="5389" w:hanging="360"/>
      </w:pPr>
    </w:lvl>
    <w:lvl w:ilvl="7" w:tplc="84B0F95A">
      <w:start w:val="1"/>
      <w:numFmt w:val="lowerLetter"/>
      <w:lvlText w:val="%8."/>
      <w:lvlJc w:val="left"/>
      <w:pPr>
        <w:ind w:left="6109" w:hanging="360"/>
      </w:pPr>
    </w:lvl>
    <w:lvl w:ilvl="8" w:tplc="B910132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5B6D60"/>
    <w:multiLevelType w:val="hybridMultilevel"/>
    <w:tmpl w:val="B7EA19FC"/>
    <w:lvl w:ilvl="0" w:tplc="4FA26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2FAFEDE">
      <w:start w:val="1"/>
      <w:numFmt w:val="lowerLetter"/>
      <w:lvlText w:val="%2."/>
      <w:lvlJc w:val="left"/>
      <w:pPr>
        <w:ind w:left="1788" w:hanging="360"/>
      </w:pPr>
    </w:lvl>
    <w:lvl w:ilvl="2" w:tplc="59AA4F08">
      <w:start w:val="1"/>
      <w:numFmt w:val="lowerRoman"/>
      <w:lvlText w:val="%3."/>
      <w:lvlJc w:val="right"/>
      <w:pPr>
        <w:ind w:left="2508" w:hanging="180"/>
      </w:pPr>
    </w:lvl>
    <w:lvl w:ilvl="3" w:tplc="4EEAB958">
      <w:start w:val="1"/>
      <w:numFmt w:val="decimal"/>
      <w:lvlText w:val="%4."/>
      <w:lvlJc w:val="left"/>
      <w:pPr>
        <w:ind w:left="3228" w:hanging="360"/>
      </w:pPr>
    </w:lvl>
    <w:lvl w:ilvl="4" w:tplc="0F767E22">
      <w:start w:val="1"/>
      <w:numFmt w:val="lowerLetter"/>
      <w:lvlText w:val="%5."/>
      <w:lvlJc w:val="left"/>
      <w:pPr>
        <w:ind w:left="3948" w:hanging="360"/>
      </w:pPr>
    </w:lvl>
    <w:lvl w:ilvl="5" w:tplc="4E127E48">
      <w:start w:val="1"/>
      <w:numFmt w:val="lowerRoman"/>
      <w:lvlText w:val="%6."/>
      <w:lvlJc w:val="right"/>
      <w:pPr>
        <w:ind w:left="4668" w:hanging="180"/>
      </w:pPr>
    </w:lvl>
    <w:lvl w:ilvl="6" w:tplc="F392C870">
      <w:start w:val="1"/>
      <w:numFmt w:val="decimal"/>
      <w:lvlText w:val="%7."/>
      <w:lvlJc w:val="left"/>
      <w:pPr>
        <w:ind w:left="5388" w:hanging="360"/>
      </w:pPr>
    </w:lvl>
    <w:lvl w:ilvl="7" w:tplc="E5FA67F6">
      <w:start w:val="1"/>
      <w:numFmt w:val="lowerLetter"/>
      <w:lvlText w:val="%8."/>
      <w:lvlJc w:val="left"/>
      <w:pPr>
        <w:ind w:left="6108" w:hanging="360"/>
      </w:pPr>
    </w:lvl>
    <w:lvl w:ilvl="8" w:tplc="B0E6102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6A"/>
    <w:rsid w:val="004C2FB7"/>
    <w:rsid w:val="0093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ody Text"/>
    <w:basedOn w:val="a"/>
    <w:link w:val="af9"/>
    <w:rPr>
      <w:b/>
      <w:szCs w:val="20"/>
      <w:lang w:eastAsia="ar-SA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ody Text"/>
    <w:basedOn w:val="a"/>
    <w:link w:val="af9"/>
    <w:rPr>
      <w:b/>
      <w:szCs w:val="20"/>
      <w:lang w:eastAsia="ar-SA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10.jp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061F-FEE0-4A9B-94FD-5504C2C7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Валентина Георгиевна</dc:creator>
  <cp:lastModifiedBy>Прыгунова Марина Григорьевна</cp:lastModifiedBy>
  <cp:revision>2</cp:revision>
  <dcterms:created xsi:type="dcterms:W3CDTF">2025-06-16T04:40:00Z</dcterms:created>
  <dcterms:modified xsi:type="dcterms:W3CDTF">2025-06-16T04:40:00Z</dcterms:modified>
</cp:coreProperties>
</file>