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jc w:val="right"/>
        <w:rPr>
          <w:i/>
          <w:iCs/>
        </w:rPr>
      </w:pPr>
      <w:r>
        <w:rPr>
          <w:i/>
          <w:iCs/>
        </w:rPr>
        <w:t xml:space="preserve">Проект решения Думы города Покачи</w:t>
      </w:r>
      <w:r>
        <w:rPr>
          <w:i/>
          <w:iCs/>
        </w:rPr>
      </w:r>
    </w:p>
    <w:p>
      <w:pPr>
        <w:pStyle w:val="796"/>
        <w:jc w:val="right"/>
        <w:rPr>
          <w:iCs/>
        </w:rPr>
      </w:pPr>
      <w:r>
        <w:rPr>
          <w:i/>
          <w:iCs/>
        </w:rPr>
        <w:t xml:space="preserve">вносится главой города Покачи</w:t>
      </w:r>
      <w:r>
        <w:rPr>
          <w:iCs/>
        </w:rPr>
      </w:r>
    </w:p>
    <w:p>
      <w:pPr>
        <w:jc w:val="center"/>
        <w:rPr>
          <w:shd w:val="clear" w:color="auto" w:fill="aecf00"/>
        </w:rPr>
      </w:pPr>
      <w:r>
        <w:rPr>
          <w:shd w:val="clear" w:color="auto" w:fill="aecf00"/>
        </w:rPr>
      </w:r>
      <w:r>
        <w:rPr>
          <w:shd w:val="clear" w:color="auto" w:fill="aecf00"/>
        </w:rPr>
      </w:r>
    </w:p>
    <w:p>
      <w:pPr>
        <w:jc w:val="center"/>
        <w:rPr>
          <w:shd w:val="clear" w:color="auto" w:fill="aecf00"/>
        </w:rPr>
      </w:pPr>
      <w:r>
        <w:rPr>
          <w:shd w:val="clear" w:color="auto" w:fill="aecf0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2460" cy="686086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2459" cy="686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80pt;height:54.0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hd w:val="clear" w:color="auto" w:fill="aecf00"/>
        </w:rPr>
      </w:r>
    </w:p>
    <w:p>
      <w:pPr>
        <w:jc w:val="center"/>
        <w:rPr>
          <w:shd w:val="clear" w:color="auto" w:fill="aecf00"/>
        </w:rPr>
      </w:pPr>
      <w:r>
        <w:rPr>
          <w:shd w:val="clear" w:color="auto" w:fill="aecf00"/>
        </w:rPr>
      </w:r>
      <w:r>
        <w:rPr>
          <w:shd w:val="clear" w:color="auto" w:fill="aecf00"/>
        </w:rPr>
      </w:r>
    </w:p>
    <w:p>
      <w:pPr>
        <w:pStyle w:val="79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ДУМА ГОРОДА ПОКАЧИ</w:t>
      </w:r>
      <w:r>
        <w:rPr>
          <w:b/>
          <w:sz w:val="48"/>
          <w:szCs w:val="48"/>
        </w:rPr>
      </w:r>
    </w:p>
    <w:p>
      <w:pPr>
        <w:pStyle w:val="796"/>
        <w:jc w:val="center"/>
        <w:rPr>
          <w:b/>
        </w:rPr>
      </w:pPr>
      <w:r>
        <w:rPr>
          <w:b/>
        </w:rPr>
        <w:t xml:space="preserve">ХАНТЫ - МАНСИЙСКОГО АВТОНОМНОГО ОКРУГА – ЮГРЫ</w:t>
      </w:r>
      <w:r>
        <w:rPr>
          <w:b/>
        </w:rPr>
      </w:r>
    </w:p>
    <w:p>
      <w:pPr>
        <w:pStyle w:val="79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79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</w:t>
      </w:r>
      <w:r>
        <w:rPr>
          <w:b/>
          <w:sz w:val="36"/>
          <w:szCs w:val="36"/>
        </w:rPr>
      </w:r>
    </w:p>
    <w:p>
      <w:pPr>
        <w:pStyle w:val="744"/>
        <w:numPr>
          <w:ilvl w:val="4"/>
          <w:numId w:val="2"/>
        </w:numPr>
        <w:jc w:val="both"/>
        <w:tabs>
          <w:tab w:val="left" w:pos="0" w:leader="none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_______________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№_____</w:t>
      </w:r>
      <w:r>
        <w:rPr>
          <w:i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5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города Покачи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годов, утвержденный решением Думы города Покачи от 13.12.202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95</w:t>
      </w:r>
      <w:r>
        <w:rPr>
          <w:b/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2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Думы города Покачи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бюджет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утвержденный решением Думы города Покачи от 13.12.202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95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соответствии с пунктом 2 части 1 статьи 19 Устава города Покачи, </w:t>
      </w:r>
      <w:r>
        <w:rPr>
          <w:sz w:val="28"/>
          <w:szCs w:val="28"/>
        </w:rPr>
        <w:t xml:space="preserve">частью</w:t>
      </w:r>
      <w:r>
        <w:rPr>
          <w:sz w:val="28"/>
          <w:szCs w:val="28"/>
        </w:rPr>
        <w:t xml:space="preserve"> 6 статьи 4 Положения о бюджетном устройстве и бюджетном процессе в городе Покачи, утвержденного решением Думы города Покачи от 27.11.2024 №87, Дума города Покачи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РЕШИЛА:</w:t>
      </w:r>
      <w:r>
        <w:rPr>
          <w:b/>
          <w:bCs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бюджет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утвержденный решением Думы города Покачи от 13.12.202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95</w:t>
      </w:r>
      <w:r>
        <w:rPr>
          <w:sz w:val="28"/>
          <w:szCs w:val="28"/>
        </w:rPr>
        <w:t xml:space="preserve"> (сетевое издание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ПокачиИнформ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hyperlink r:id="rId11" w:tooltip="http://vgazetepv.ru" w:history="1">
        <w:r>
          <w:rPr>
            <w:sz w:val="28"/>
            <w:szCs w:val="28"/>
          </w:rPr>
          <w:t xml:space="preserve">http://vgazetepv.ru</w:t>
        </w:r>
      </w:hyperlink>
      <w:r>
        <w:rPr>
          <w:sz w:val="28"/>
          <w:szCs w:val="28"/>
        </w:rPr>
        <w:t xml:space="preserve">,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), с изменениями от 04.03.2025 №15 (сетевое издание «</w:t>
      </w:r>
      <w:r>
        <w:rPr>
          <w:sz w:val="28"/>
          <w:szCs w:val="28"/>
        </w:rPr>
        <w:t xml:space="preserve">ПокачиИнформ</w:t>
      </w:r>
      <w:r>
        <w:rPr>
          <w:sz w:val="28"/>
          <w:szCs w:val="28"/>
        </w:rPr>
        <w:t xml:space="preserve">» </w:t>
      </w:r>
      <w:hyperlink r:id="rId12" w:tooltip="http://vgazetepv.ru" w:history="1">
        <w:r>
          <w:rPr>
            <w:sz w:val="28"/>
            <w:szCs w:val="28"/>
          </w:rPr>
          <w:t xml:space="preserve">http://vgazetepv.ru</w:t>
        </w:r>
      </w:hyperlink>
      <w:r>
        <w:rPr>
          <w:sz w:val="28"/>
          <w:szCs w:val="28"/>
        </w:rPr>
        <w:t xml:space="preserve">, 04.03.2025)</w:t>
      </w:r>
      <w:r>
        <w:rPr>
          <w:sz w:val="28"/>
          <w:szCs w:val="28"/>
        </w:rPr>
        <w:t xml:space="preserve">, следующие изменения: 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1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1. Утвердить основные характеристики бюджета города Покачи на 2025 год: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общий объем доходов бюджета города Покачи в сумме </w:t>
      </w:r>
      <w:r>
        <w:rPr>
          <w:color w:val="000000"/>
          <w:sz w:val="28"/>
          <w:szCs w:val="28"/>
        </w:rPr>
        <w:t xml:space="preserve">2 миллиарда </w:t>
      </w:r>
      <w:r>
        <w:rPr>
          <w:color w:val="000000"/>
          <w:sz w:val="28"/>
          <w:szCs w:val="28"/>
        </w:rPr>
        <w:t xml:space="preserve">521</w:t>
      </w:r>
      <w:r>
        <w:rPr>
          <w:color w:val="000000"/>
          <w:sz w:val="28"/>
          <w:szCs w:val="28"/>
        </w:rPr>
        <w:t xml:space="preserve"> миллион </w:t>
      </w:r>
      <w:r>
        <w:rPr>
          <w:color w:val="000000"/>
          <w:sz w:val="28"/>
          <w:szCs w:val="28"/>
        </w:rPr>
        <w:t xml:space="preserve">74</w:t>
      </w:r>
      <w:r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72</w:t>
      </w:r>
      <w:r>
        <w:rPr>
          <w:color w:val="000000"/>
          <w:sz w:val="28"/>
          <w:szCs w:val="28"/>
        </w:rPr>
        <w:t xml:space="preserve">3 рубля</w:t>
      </w:r>
      <w:r>
        <w:rPr>
          <w:color w:val="000000"/>
          <w:sz w:val="28"/>
          <w:szCs w:val="28"/>
        </w:rPr>
        <w:t xml:space="preserve"> 94 </w:t>
      </w:r>
      <w:r>
        <w:rPr>
          <w:color w:val="000000"/>
          <w:sz w:val="28"/>
          <w:szCs w:val="28"/>
        </w:rPr>
        <w:t xml:space="preserve">копе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, в том числе без учета утвержденного объема безвозмездных поступлений и поступлений налоговых доходов по дополнительным нормативам отчислений в сумме </w:t>
      </w:r>
      <w:r>
        <w:rPr>
          <w:color w:val="000000"/>
          <w:sz w:val="28"/>
          <w:szCs w:val="28"/>
        </w:rPr>
        <w:t xml:space="preserve">468 миллионов </w:t>
      </w:r>
      <w:bookmarkStart w:id="0" w:name="_Hlk196388280"/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 xml:space="preserve">я</w:t>
      </w:r>
      <w:bookmarkEnd w:id="0"/>
      <w:r>
        <w:rPr>
          <w:color w:val="000000"/>
          <w:sz w:val="28"/>
          <w:szCs w:val="28"/>
        </w:rPr>
        <w:t xml:space="preserve"> 07 копеек</w:t>
      </w:r>
      <w:r>
        <w:rPr>
          <w:color w:val="000000"/>
          <w:sz w:val="28"/>
          <w:szCs w:val="28"/>
        </w:rPr>
        <w:t xml:space="preserve">, согласно приложению 1;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общий объем расходов бюджета города Покачи в сумме </w:t>
      </w:r>
      <w:r>
        <w:rPr>
          <w:color w:val="000000"/>
          <w:sz w:val="28"/>
          <w:szCs w:val="28"/>
        </w:rPr>
        <w:t xml:space="preserve">2 миллиарда </w:t>
      </w:r>
      <w:r>
        <w:rPr>
          <w:color w:val="000000"/>
          <w:sz w:val="28"/>
          <w:szCs w:val="28"/>
        </w:rPr>
        <w:t xml:space="preserve">636</w:t>
      </w:r>
      <w:r>
        <w:rPr>
          <w:color w:val="000000"/>
          <w:sz w:val="28"/>
          <w:szCs w:val="28"/>
        </w:rPr>
        <w:t xml:space="preserve"> миллион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603</w:t>
      </w:r>
      <w:r>
        <w:rPr>
          <w:color w:val="000000"/>
          <w:sz w:val="28"/>
          <w:szCs w:val="28"/>
        </w:rPr>
        <w:t xml:space="preserve"> тысячи 172</w:t>
      </w:r>
      <w:r>
        <w:rPr>
          <w:color w:val="000000"/>
          <w:sz w:val="28"/>
          <w:szCs w:val="28"/>
        </w:rPr>
        <w:t xml:space="preserve"> рубля 46 копеек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города Покачи в сумме </w:t>
      </w:r>
      <w:r>
        <w:rPr>
          <w:color w:val="000000"/>
          <w:sz w:val="28"/>
          <w:szCs w:val="28"/>
        </w:rPr>
        <w:t xml:space="preserve">115 миллионов 528 </w:t>
      </w:r>
      <w:r>
        <w:rPr>
          <w:color w:val="000000"/>
          <w:sz w:val="28"/>
          <w:szCs w:val="28"/>
        </w:rPr>
        <w:t xml:space="preserve">тысяч </w:t>
      </w:r>
      <w:r>
        <w:rPr>
          <w:color w:val="000000"/>
          <w:sz w:val="28"/>
          <w:szCs w:val="28"/>
        </w:rPr>
        <w:t xml:space="preserve">448</w:t>
      </w:r>
      <w:r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 xml:space="preserve">52</w:t>
      </w:r>
      <w:r>
        <w:rPr>
          <w:color w:val="000000"/>
          <w:sz w:val="28"/>
          <w:szCs w:val="28"/>
        </w:rPr>
        <w:t xml:space="preserve"> копе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верхний предел муниципального внутреннего долга города Покачи на 01.01.2026 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163 миллиона 293 тысячи 600 рублей 00</w:t>
      </w:r>
      <w:r>
        <w:rPr>
          <w:color w:val="000000"/>
          <w:sz w:val="28"/>
          <w:szCs w:val="28"/>
        </w:rPr>
        <w:t xml:space="preserve"> копеек, в том числе верхний предел долга по муниципальным гарантиям 00 рублей 00 копеек;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предельный объем муниципального долга города Покачи в сумме </w:t>
      </w:r>
      <w:r>
        <w:rPr>
          <w:color w:val="000000"/>
          <w:sz w:val="28"/>
          <w:szCs w:val="28"/>
        </w:rPr>
        <w:t xml:space="preserve">468 миллионов </w:t>
      </w:r>
      <w:r>
        <w:rPr>
          <w:color w:val="000000"/>
          <w:sz w:val="28"/>
          <w:szCs w:val="28"/>
        </w:rPr>
        <w:t xml:space="preserve">192 тысячи 23 рубля</w:t>
      </w:r>
      <w:r>
        <w:rPr>
          <w:color w:val="000000"/>
          <w:sz w:val="28"/>
          <w:szCs w:val="28"/>
        </w:rPr>
        <w:t xml:space="preserve"> 07 копеек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-284" w:firstLine="993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часть 6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2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6. Утвердить общий объем бюджетных ассигнований муниципального дорожного фонда города Покачи: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на 2025 год в сумме </w:t>
      </w:r>
      <w:r>
        <w:rPr>
          <w:sz w:val="28"/>
          <w:szCs w:val="28"/>
        </w:rPr>
        <w:t xml:space="preserve">83 миллиона 43 тысячи </w:t>
      </w:r>
      <w:r>
        <w:rPr>
          <w:sz w:val="28"/>
          <w:szCs w:val="28"/>
        </w:rPr>
        <w:t xml:space="preserve">735 рублей </w:t>
      </w:r>
      <w:r>
        <w:rPr>
          <w:sz w:val="28"/>
          <w:szCs w:val="28"/>
        </w:rPr>
        <w:t xml:space="preserve">51</w:t>
      </w:r>
      <w:r>
        <w:rPr>
          <w:sz w:val="28"/>
          <w:szCs w:val="28"/>
        </w:rPr>
        <w:t xml:space="preserve"> копейка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на 2026 год в сумме 66 миллионов 251 тысяча 6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 рублей 24 копейки;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на 2027 год в сумме 66 миллионов 251 тысяча 6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 рублей 24 копейки.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часть 9 статьи 2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9. Утвердить объем бюджетных ассигнований на осуществление бюджетных инвестиций в объекты капитального строительства муниципальной собственности города Покачи: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на 2025 год в сумме </w:t>
      </w:r>
      <w:r>
        <w:rPr>
          <w:sz w:val="28"/>
          <w:szCs w:val="28"/>
        </w:rPr>
        <w:t xml:space="preserve">116 миллионов 464 тысячи 674 рубля 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 согласно приложению 9;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на 2026 год в сумме 69 миллионов 475 тысяч 257 рублей 73 копейки и на 2027 год в сумме 20 миллионов 835 тысяч 257 рублей 73 копейки согласно приложению 9.1.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Доходы бюджета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1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</w:t>
      </w:r>
      <w:bookmarkStart w:id="1" w:name="undefined"/>
      <w:r/>
      <w:bookmarkEnd w:id="1"/>
      <w:r>
        <w:rPr>
          <w:sz w:val="28"/>
          <w:szCs w:val="28"/>
        </w:rPr>
        <w:t xml:space="preserve">ние 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2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2.1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города Покачи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2.1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3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Распределение бюджетных ассигнований по целевым статьям, группам видов расходов классификации расходов бюджета города Покачи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3.1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4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4.1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города Покачи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4.1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Ведомственная структура расходов бюджета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5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5.1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Ведомственная структура расходов бюджета города Покачи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5.1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 межбюджетных трансфертов, получаемых из других бюджетов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финансирования программ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к настоящему решению; 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8.1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финансирования программ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 бюджетных ассигнований на осуществление бюджетных инвестиций в объекты капитального строительства муниципальной собственности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Источники финансирования дефицита бюджета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10.1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Источники финансирования дефицита бюджета города Покачи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Программа муниципальных внутренних заимствований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Программа муниципальных внутренних заимствований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.1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Структура муниципального долга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решению;</w:t>
      </w:r>
      <w:r>
        <w:rPr>
          <w:sz w:val="28"/>
          <w:szCs w:val="28"/>
        </w:rPr>
      </w:r>
    </w:p>
    <w:p>
      <w:pPr>
        <w:pStyle w:val="795"/>
        <w:numPr>
          <w:ilvl w:val="0"/>
          <w:numId w:val="32"/>
        </w:numPr>
        <w:ind w:left="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12.1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Структура муниципального долга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бюджету города Покачи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изложить в новой редакции согласно приложению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 к настоящему решению.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опубликования.</w:t>
      </w:r>
      <w:r>
        <w:rPr>
          <w:sz w:val="28"/>
          <w:szCs w:val="28"/>
        </w:rPr>
      </w:r>
    </w:p>
    <w:p>
      <w:pPr>
        <w:ind w:firstLine="709"/>
        <w:jc w:val="both"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ПокачиИнформ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(http://vgazetepv.ru/). 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</w:t>
      </w:r>
      <w:r>
        <w:rPr>
          <w:bCs/>
          <w:color w:val="000000"/>
          <w:sz w:val="28"/>
          <w:szCs w:val="28"/>
        </w:rPr>
        <w:t xml:space="preserve">председатель Руденко А.А.)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spacing w:line="320" w:lineRule="exact"/>
        <w:tabs>
          <w:tab w:val="left" w:pos="993" w:leader="none"/>
          <w:tab w:val="left" w:pos="680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="320" w:lineRule="exact"/>
        <w:tabs>
          <w:tab w:val="left" w:pos="993" w:leader="none"/>
          <w:tab w:val="left" w:pos="680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>
        <w:tblPrEx/>
        <w:trPr>
          <w:trHeight w:val="17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6" w:type="dxa"/>
            <w:textDirection w:val="lrTb"/>
            <w:noWrap w:val="false"/>
          </w:tcPr>
          <w:p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города Покачи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8" w:type="dxa"/>
            <w:textDirection w:val="lrTb"/>
            <w:noWrap w:val="false"/>
          </w:tcPr>
          <w:p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Думы города Покачи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6" w:type="dxa"/>
            <w:textDirection w:val="lrTb"/>
            <w:noWrap w:val="false"/>
          </w:tcPr>
          <w:p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В.Л. </w:t>
            </w:r>
            <w:r>
              <w:rPr>
                <w:b/>
                <w:sz w:val="28"/>
                <w:szCs w:val="28"/>
              </w:rPr>
              <w:t xml:space="preserve">Таненков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8" w:type="dxa"/>
            <w:textDirection w:val="lrTb"/>
            <w:noWrap w:val="false"/>
          </w:tcPr>
          <w:p>
            <w:pPr>
              <w:spacing w:line="320" w:lineRule="exac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А.С. Руденко</w:t>
            </w:r>
            <w:r>
              <w:rPr>
                <w:b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6" w:type="dxa"/>
            <w:textDirection w:val="lrTb"/>
            <w:noWrap w:val="false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8" w:type="dxa"/>
            <w:textDirection w:val="lrTb"/>
            <w:noWrap w:val="false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9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Думой города Покачи</w:t>
      </w:r>
      <w:r>
        <w:rPr>
          <w:rFonts w:ascii="Times New Roman" w:hAnsi="Times New Roman"/>
        </w:rPr>
      </w:r>
    </w:p>
    <w:p>
      <w:pPr>
        <w:pStyle w:val="977"/>
        <w:ind w:firstLine="0"/>
        <w:rPr>
          <w:lang w:eastAsia="en-US"/>
        </w:rPr>
      </w:pPr>
      <w:r>
        <w:rPr>
          <w:lang w:eastAsia="en-US"/>
        </w:rPr>
        <w:t xml:space="preserve">____________________</w:t>
      </w:r>
      <w:r>
        <w:rPr>
          <w:lang w:eastAsia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(число, месяц, год)</w:t>
      </w:r>
      <w:r>
        <w:rPr>
          <w:sz w:val="20"/>
          <w:szCs w:val="20"/>
        </w:rPr>
      </w:r>
    </w:p>
    <w:sectPr>
      <w:headerReference w:type="default" r:id="rId9"/>
      <w:footnotePr>
        <w:pos w:val="beneathText"/>
      </w:footnotePr>
      <w:endnotePr/>
      <w:type w:val="nextPage"/>
      <w:pgSz w:w="11905" w:h="16837" w:orient="portrait"/>
      <w:pgMar w:top="284" w:right="567" w:bottom="1134" w:left="1985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MS Mincho">
    <w:panose1 w:val="0202060904020508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4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0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284" w:firstLine="4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8"/>
  </w:num>
  <w:num w:numId="5">
    <w:abstractNumId w:val="31"/>
  </w:num>
  <w:num w:numId="6">
    <w:abstractNumId w:val="26"/>
  </w:num>
  <w:num w:numId="7">
    <w:abstractNumId w:val="10"/>
  </w:num>
  <w:num w:numId="8">
    <w:abstractNumId w:val="7"/>
  </w:num>
  <w:num w:numId="9">
    <w:abstractNumId w:val="33"/>
  </w:num>
  <w:num w:numId="10">
    <w:abstractNumId w:val="32"/>
  </w:num>
  <w:num w:numId="11">
    <w:abstractNumId w:val="14"/>
  </w:num>
  <w:num w:numId="12">
    <w:abstractNumId w:val="30"/>
  </w:num>
  <w:num w:numId="13">
    <w:abstractNumId w:val="23"/>
  </w:num>
  <w:num w:numId="14">
    <w:abstractNumId w:val="22"/>
  </w:num>
  <w:num w:numId="15">
    <w:abstractNumId w:val="17"/>
  </w:num>
  <w:num w:numId="16">
    <w:abstractNumId w:val="21"/>
  </w:num>
  <w:num w:numId="17">
    <w:abstractNumId w:val="3"/>
  </w:num>
  <w:num w:numId="18">
    <w:abstractNumId w:val="28"/>
  </w:num>
  <w:num w:numId="19">
    <w:abstractNumId w:val="18"/>
  </w:num>
  <w:num w:numId="20">
    <w:abstractNumId w:val="0"/>
  </w:num>
  <w:num w:numId="21">
    <w:abstractNumId w:val="19"/>
  </w:num>
  <w:num w:numId="22">
    <w:abstractNumId w:val="9"/>
  </w:num>
  <w:num w:numId="23">
    <w:abstractNumId w:val="16"/>
  </w:num>
  <w:num w:numId="24">
    <w:abstractNumId w:val="5"/>
  </w:num>
  <w:num w:numId="25">
    <w:abstractNumId w:val="27"/>
  </w:num>
  <w:num w:numId="26">
    <w:abstractNumId w:val="24"/>
  </w:num>
  <w:num w:numId="27">
    <w:abstractNumId w:val="20"/>
  </w:num>
  <w:num w:numId="28">
    <w:abstractNumId w:val="6"/>
  </w:num>
  <w:num w:numId="29">
    <w:abstractNumId w:val="15"/>
  </w:num>
  <w:num w:numId="30">
    <w:abstractNumId w:val="2"/>
  </w:num>
  <w:num w:numId="31">
    <w:abstractNumId w:val="1"/>
  </w:num>
  <w:num w:numId="32">
    <w:abstractNumId w:val="25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 w:default="1">
    <w:name w:val="Normal"/>
    <w:qFormat/>
    <w:rPr>
      <w:sz w:val="24"/>
      <w:szCs w:val="24"/>
      <w:lang w:eastAsia="ar-SA"/>
    </w:rPr>
  </w:style>
  <w:style w:type="paragraph" w:styleId="740">
    <w:name w:val="Heading 1"/>
    <w:basedOn w:val="739"/>
    <w:next w:val="739"/>
    <w:link w:val="7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787"/>
    <w:qFormat/>
    <w:pPr>
      <w:numPr>
        <w:ilvl w:val="1"/>
        <w:numId w:val="1"/>
      </w:numPr>
      <w:jc w:val="both"/>
      <w:keepNext/>
      <w:outlineLvl w:val="1"/>
    </w:pPr>
    <w:rPr>
      <w:b/>
      <w:bCs/>
    </w:rPr>
  </w:style>
  <w:style w:type="paragraph" w:styleId="742">
    <w:name w:val="Heading 3"/>
    <w:basedOn w:val="739"/>
    <w:next w:val="739"/>
    <w:link w:val="788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43">
    <w:name w:val="Heading 4"/>
    <w:basedOn w:val="739"/>
    <w:next w:val="739"/>
    <w:link w:val="789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sz w:val="28"/>
      <w:szCs w:val="28"/>
    </w:rPr>
  </w:style>
  <w:style w:type="paragraph" w:styleId="744">
    <w:name w:val="Heading 5"/>
    <w:basedOn w:val="739"/>
    <w:next w:val="739"/>
    <w:link w:val="79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45">
    <w:name w:val="Heading 6"/>
    <w:basedOn w:val="739"/>
    <w:next w:val="739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table" w:styleId="752" w:customStyle="1">
    <w:name w:val="Таблица простая 11"/>
    <w:basedOn w:val="75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75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7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7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7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basedOn w:val="75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-сетка 21"/>
    <w:basedOn w:val="75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31"/>
    <w:basedOn w:val="75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41"/>
    <w:basedOn w:val="75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Таблица-сетка 5 темная1"/>
    <w:basedOn w:val="7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Таблица-сетка 6 цветная1"/>
    <w:basedOn w:val="75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Таблица-сетка 7 цветная1"/>
    <w:basedOn w:val="75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Список-таблица 1 светлая1"/>
    <w:basedOn w:val="75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Список-таблица 21"/>
    <w:basedOn w:val="75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Список-таблица 31"/>
    <w:basedOn w:val="75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Список-таблица 41"/>
    <w:basedOn w:val="75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Список-таблица 5 темная1"/>
    <w:basedOn w:val="75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Список-таблица 6 цветная1"/>
    <w:basedOn w:val="75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0" w:customStyle="1">
    <w:name w:val="Список-таблица 7 цветная1"/>
    <w:basedOn w:val="75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1" w:customStyle="1">
    <w:name w:val="Heading 1 Char"/>
    <w:basedOn w:val="749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basedOn w:val="749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basedOn w:val="749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basedOn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basedOn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basedOn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basedOn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basedOn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basedOn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80" w:customStyle="1">
    <w:name w:val="Title Char"/>
    <w:basedOn w:val="749"/>
    <w:uiPriority w:val="10"/>
    <w:rPr>
      <w:sz w:val="48"/>
      <w:szCs w:val="48"/>
    </w:rPr>
  </w:style>
  <w:style w:type="character" w:styleId="781" w:customStyle="1">
    <w:name w:val="Subtitle Char"/>
    <w:basedOn w:val="749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Footnote Text Char"/>
    <w:uiPriority w:val="99"/>
    <w:rPr>
      <w:sz w:val="18"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Заголовок 1 Знак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Заголовок 2 Знак"/>
    <w:basedOn w:val="749"/>
    <w:link w:val="741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39"/>
    <w:uiPriority w:val="34"/>
    <w:qFormat/>
    <w:pPr>
      <w:contextualSpacing/>
      <w:ind w:left="720"/>
    </w:pPr>
  </w:style>
  <w:style w:type="paragraph" w:styleId="796">
    <w:name w:val="No Spacing"/>
    <w:uiPriority w:val="1"/>
    <w:qFormat/>
    <w:rPr>
      <w:sz w:val="24"/>
      <w:szCs w:val="24"/>
      <w:lang w:eastAsia="ar-SA"/>
    </w:rPr>
  </w:style>
  <w:style w:type="paragraph" w:styleId="797">
    <w:name w:val="Title"/>
    <w:basedOn w:val="739"/>
    <w:next w:val="964"/>
    <w:link w:val="798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character" w:styleId="798" w:customStyle="1">
    <w:name w:val="Заголовок Знак"/>
    <w:basedOn w:val="749"/>
    <w:link w:val="797"/>
    <w:uiPriority w:val="10"/>
    <w:rPr>
      <w:sz w:val="48"/>
      <w:szCs w:val="48"/>
    </w:rPr>
  </w:style>
  <w:style w:type="paragraph" w:styleId="799">
    <w:name w:val="Subtitle"/>
    <w:basedOn w:val="739"/>
    <w:next w:val="739"/>
    <w:link w:val="800"/>
    <w:uiPriority w:val="11"/>
    <w:qFormat/>
    <w:pPr>
      <w:spacing w:before="200" w:after="200"/>
    </w:pPr>
  </w:style>
  <w:style w:type="character" w:styleId="800" w:customStyle="1">
    <w:name w:val="Подзаголовок Знак"/>
    <w:basedOn w:val="749"/>
    <w:link w:val="799"/>
    <w:uiPriority w:val="11"/>
    <w:rPr>
      <w:sz w:val="24"/>
      <w:szCs w:val="24"/>
    </w:rPr>
  </w:style>
  <w:style w:type="paragraph" w:styleId="801">
    <w:name w:val="Quote"/>
    <w:basedOn w:val="739"/>
    <w:next w:val="739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39"/>
    <w:next w:val="739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paragraph" w:styleId="805">
    <w:name w:val="Header"/>
    <w:basedOn w:val="739"/>
    <w:link w:val="98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06" w:customStyle="1">
    <w:name w:val="Header Char"/>
    <w:basedOn w:val="749"/>
    <w:uiPriority w:val="99"/>
  </w:style>
  <w:style w:type="paragraph" w:styleId="807">
    <w:name w:val="Footer"/>
    <w:basedOn w:val="739"/>
    <w:link w:val="984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08" w:customStyle="1">
    <w:name w:val="Footer Char"/>
    <w:basedOn w:val="749"/>
    <w:uiPriority w:val="99"/>
  </w:style>
  <w:style w:type="paragraph" w:styleId="809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basedOn w:val="750"/>
    <w:uiPriority w:val="59"/>
    <w:tblPr/>
  </w:style>
  <w:style w:type="table" w:styleId="8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/>
      <w:u w:val="single"/>
    </w:rPr>
  </w:style>
  <w:style w:type="paragraph" w:styleId="938">
    <w:name w:val="footnote text"/>
    <w:basedOn w:val="739"/>
    <w:link w:val="939"/>
    <w:uiPriority w:val="99"/>
    <w:semiHidden/>
    <w:unhideWhenUsed/>
    <w:pPr>
      <w:spacing w:after="40"/>
    </w:pPr>
    <w:rPr>
      <w:sz w:val="18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basedOn w:val="749"/>
    <w:uiPriority w:val="99"/>
    <w:unhideWhenUsed/>
    <w:rPr>
      <w:vertAlign w:val="superscript"/>
    </w:rPr>
  </w:style>
  <w:style w:type="paragraph" w:styleId="941">
    <w:name w:val="endnote text"/>
    <w:basedOn w:val="739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basedOn w:val="749"/>
    <w:uiPriority w:val="99"/>
    <w:semiHidden/>
    <w:unhideWhenUsed/>
    <w:rPr>
      <w:vertAlign w:val="superscript"/>
    </w:rPr>
  </w:style>
  <w:style w:type="paragraph" w:styleId="944">
    <w:name w:val="toc 1"/>
    <w:basedOn w:val="739"/>
    <w:next w:val="739"/>
    <w:uiPriority w:val="39"/>
    <w:unhideWhenUsed/>
    <w:pPr>
      <w:spacing w:after="57"/>
    </w:pPr>
  </w:style>
  <w:style w:type="paragraph" w:styleId="945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46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47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48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49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50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51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52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739"/>
    <w:next w:val="739"/>
    <w:uiPriority w:val="99"/>
    <w:unhideWhenUsed/>
  </w:style>
  <w:style w:type="character" w:styleId="955" w:customStyle="1">
    <w:name w:val="Absatz-Standardschriftart"/>
  </w:style>
  <w:style w:type="character" w:styleId="956" w:customStyle="1">
    <w:name w:val="WW-Absatz-Standardschriftart"/>
  </w:style>
  <w:style w:type="character" w:styleId="957" w:customStyle="1">
    <w:name w:val="WW-Absatz-Standardschriftart1"/>
  </w:style>
  <w:style w:type="character" w:styleId="958" w:customStyle="1">
    <w:name w:val="Основной шрифт абзаца4"/>
  </w:style>
  <w:style w:type="character" w:styleId="959" w:customStyle="1">
    <w:name w:val="Основной шрифт абзаца3"/>
  </w:style>
  <w:style w:type="character" w:styleId="960" w:customStyle="1">
    <w:name w:val="Основной шрифт абзаца2"/>
  </w:style>
  <w:style w:type="character" w:styleId="961" w:customStyle="1">
    <w:name w:val="Основной шрифт абзаца1"/>
  </w:style>
  <w:style w:type="character" w:styleId="962">
    <w:name w:val="page number"/>
    <w:basedOn w:val="961"/>
    <w:semiHidden/>
  </w:style>
  <w:style w:type="character" w:styleId="963" w:customStyle="1">
    <w:name w:val="Символ нумерации"/>
  </w:style>
  <w:style w:type="paragraph" w:styleId="964">
    <w:name w:val="Body Text"/>
    <w:basedOn w:val="739"/>
    <w:semiHidden/>
    <w:pPr>
      <w:spacing w:after="120"/>
    </w:pPr>
  </w:style>
  <w:style w:type="paragraph" w:styleId="965">
    <w:name w:val="List"/>
    <w:basedOn w:val="964"/>
    <w:semiHidden/>
    <w:rPr>
      <w:rFonts w:ascii="Arial" w:hAnsi="Arial" w:cs="Tahoma"/>
    </w:rPr>
  </w:style>
  <w:style w:type="paragraph" w:styleId="966" w:customStyle="1">
    <w:name w:val="Название4"/>
    <w:basedOn w:val="739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67" w:customStyle="1">
    <w:name w:val="Указатель4"/>
    <w:basedOn w:val="739"/>
    <w:pPr>
      <w:suppressLineNumbers/>
    </w:pPr>
    <w:rPr>
      <w:rFonts w:ascii="Arial" w:hAnsi="Arial" w:cs="Tahoma"/>
    </w:rPr>
  </w:style>
  <w:style w:type="paragraph" w:styleId="968" w:customStyle="1">
    <w:name w:val="Название3"/>
    <w:basedOn w:val="739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69" w:customStyle="1">
    <w:name w:val="Указатель3"/>
    <w:basedOn w:val="739"/>
    <w:pPr>
      <w:suppressLineNumbers/>
    </w:pPr>
    <w:rPr>
      <w:rFonts w:ascii="Arial" w:hAnsi="Arial" w:cs="Tahoma"/>
    </w:rPr>
  </w:style>
  <w:style w:type="paragraph" w:styleId="970" w:customStyle="1">
    <w:name w:val="Название2"/>
    <w:basedOn w:val="739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71" w:customStyle="1">
    <w:name w:val="Указатель2"/>
    <w:basedOn w:val="739"/>
    <w:pPr>
      <w:suppressLineNumbers/>
    </w:pPr>
    <w:rPr>
      <w:rFonts w:ascii="Arial" w:hAnsi="Arial" w:cs="Tahoma"/>
    </w:rPr>
  </w:style>
  <w:style w:type="paragraph" w:styleId="972" w:customStyle="1">
    <w:name w:val="Название1"/>
    <w:basedOn w:val="739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73" w:customStyle="1">
    <w:name w:val="Указатель1"/>
    <w:basedOn w:val="739"/>
    <w:pPr>
      <w:suppressLineNumbers/>
    </w:pPr>
    <w:rPr>
      <w:rFonts w:ascii="Arial" w:hAnsi="Arial" w:cs="Tahoma"/>
    </w:rPr>
  </w:style>
  <w:style w:type="paragraph" w:styleId="974">
    <w:name w:val="Body Text Indent"/>
    <w:basedOn w:val="739"/>
    <w:link w:val="985"/>
    <w:semiHidden/>
    <w:pPr>
      <w:ind w:firstLine="720"/>
      <w:jc w:val="both"/>
    </w:pPr>
    <w:rPr>
      <w:sz w:val="26"/>
      <w:lang w:val="en-US"/>
    </w:rPr>
  </w:style>
  <w:style w:type="paragraph" w:styleId="975">
    <w:name w:val="Balloon Text"/>
    <w:basedOn w:val="739"/>
    <w:rPr>
      <w:rFonts w:ascii="Tahoma" w:hAnsi="Tahoma" w:cs="Tahoma"/>
      <w:sz w:val="16"/>
      <w:szCs w:val="16"/>
    </w:rPr>
  </w:style>
  <w:style w:type="paragraph" w:styleId="976" w:customStyle="1">
    <w:name w:val="Содержимое врезки"/>
    <w:basedOn w:val="964"/>
  </w:style>
  <w:style w:type="paragraph" w:styleId="977" w:customStyle="1">
    <w:name w:val="ConsPlusNormal"/>
    <w:next w:val="739"/>
    <w:pPr>
      <w:ind w:firstLine="720"/>
      <w:widowControl w:val="off"/>
    </w:pPr>
    <w:rPr>
      <w:rFonts w:ascii="Arial" w:hAnsi="Arial" w:eastAsia="Arial"/>
      <w:lang w:eastAsia="ar-SA"/>
    </w:rPr>
  </w:style>
  <w:style w:type="paragraph" w:styleId="978" w:customStyle="1">
    <w:name w:val="ConsPlusNonformat"/>
    <w:basedOn w:val="739"/>
    <w:next w:val="977"/>
    <w:rPr>
      <w:rFonts w:ascii="Courier New" w:hAnsi="Courier New" w:eastAsia="Courier New" w:cs="Courier New"/>
      <w:sz w:val="20"/>
      <w:szCs w:val="20"/>
      <w:lang w:eastAsia="en-US" w:bidi="en-US"/>
    </w:rPr>
  </w:style>
  <w:style w:type="paragraph" w:styleId="979" w:customStyle="1">
    <w:name w:val="ConsPlusTitle"/>
    <w:basedOn w:val="739"/>
    <w:next w:val="977"/>
    <w:rPr>
      <w:rFonts w:ascii="Arial" w:hAnsi="Arial" w:eastAsia="Arial" w:cs="Arial"/>
      <w:b/>
      <w:bCs/>
      <w:sz w:val="20"/>
      <w:szCs w:val="20"/>
      <w:lang w:eastAsia="en-US" w:bidi="en-US"/>
    </w:rPr>
  </w:style>
  <w:style w:type="paragraph" w:styleId="980" w:customStyle="1">
    <w:name w:val="ConsPlusCell"/>
    <w:basedOn w:val="739"/>
    <w:rPr>
      <w:rFonts w:ascii="Arial" w:hAnsi="Arial" w:eastAsia="Arial" w:cs="Arial"/>
      <w:sz w:val="20"/>
      <w:szCs w:val="20"/>
      <w:lang w:eastAsia="en-US" w:bidi="en-US"/>
    </w:rPr>
  </w:style>
  <w:style w:type="paragraph" w:styleId="981" w:customStyle="1">
    <w:name w:val="ConsPlusDocList"/>
    <w:basedOn w:val="739"/>
    <w:rPr>
      <w:rFonts w:ascii="Courier New" w:hAnsi="Courier New" w:eastAsia="Courier New" w:cs="Courier New"/>
      <w:sz w:val="20"/>
      <w:szCs w:val="20"/>
      <w:lang w:eastAsia="en-US" w:bidi="en-US"/>
    </w:rPr>
  </w:style>
  <w:style w:type="paragraph" w:styleId="982" w:customStyle="1">
    <w:name w:val="Содержимое фрейма"/>
    <w:basedOn w:val="964"/>
  </w:style>
  <w:style w:type="character" w:styleId="983" w:customStyle="1">
    <w:name w:val="Верхний колонтитул Знак"/>
    <w:link w:val="805"/>
    <w:uiPriority w:val="99"/>
    <w:rPr>
      <w:sz w:val="24"/>
      <w:szCs w:val="24"/>
      <w:lang w:eastAsia="ar-SA"/>
    </w:rPr>
  </w:style>
  <w:style w:type="character" w:styleId="984" w:customStyle="1">
    <w:name w:val="Нижний колонтитул Знак"/>
    <w:link w:val="807"/>
    <w:uiPriority w:val="99"/>
    <w:rPr>
      <w:sz w:val="24"/>
      <w:szCs w:val="24"/>
      <w:lang w:eastAsia="ar-SA"/>
    </w:rPr>
  </w:style>
  <w:style w:type="character" w:styleId="985" w:customStyle="1">
    <w:name w:val="Основной текст с отступом Знак"/>
    <w:link w:val="974"/>
    <w:semiHidden/>
    <w:rPr>
      <w:sz w:val="26"/>
      <w:szCs w:val="24"/>
      <w:lang w:eastAsia="ar-SA"/>
    </w:rPr>
  </w:style>
  <w:style w:type="character" w:styleId="986">
    <w:name w:val="annotation reference"/>
    <w:uiPriority w:val="99"/>
    <w:semiHidden/>
    <w:unhideWhenUsed/>
    <w:rPr>
      <w:sz w:val="16"/>
      <w:szCs w:val="16"/>
    </w:rPr>
  </w:style>
  <w:style w:type="paragraph" w:styleId="987">
    <w:name w:val="annotation text"/>
    <w:basedOn w:val="739"/>
    <w:link w:val="988"/>
    <w:uiPriority w:val="99"/>
    <w:semiHidden/>
    <w:unhideWhenUsed/>
    <w:rPr>
      <w:sz w:val="20"/>
      <w:szCs w:val="20"/>
      <w:lang w:val="en-US"/>
    </w:rPr>
  </w:style>
  <w:style w:type="character" w:styleId="988" w:customStyle="1">
    <w:name w:val="Текст примечания Знак"/>
    <w:link w:val="987"/>
    <w:uiPriority w:val="99"/>
    <w:semiHidden/>
    <w:rPr>
      <w:lang w:eastAsia="ar-SA"/>
    </w:rPr>
  </w:style>
  <w:style w:type="paragraph" w:styleId="989">
    <w:name w:val="annotation subject"/>
    <w:basedOn w:val="987"/>
    <w:next w:val="987"/>
    <w:link w:val="990"/>
    <w:uiPriority w:val="99"/>
    <w:semiHidden/>
    <w:unhideWhenUsed/>
    <w:rPr>
      <w:b/>
      <w:bCs/>
    </w:rPr>
  </w:style>
  <w:style w:type="character" w:styleId="990" w:customStyle="1">
    <w:name w:val="Тема примечания Знак"/>
    <w:link w:val="989"/>
    <w:uiPriority w:val="99"/>
    <w:semiHidden/>
    <w:rPr>
      <w:b/>
      <w:bCs/>
      <w:lang w:eastAsia="ar-SA"/>
    </w:rPr>
  </w:style>
  <w:style w:type="character" w:styleId="991" w:customStyle="1">
    <w:name w:val="Неразрешенное упоминание1"/>
    <w:basedOn w:val="74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vgazetepv.ru" TargetMode="External"/><Relationship Id="rId12" Type="http://schemas.openxmlformats.org/officeDocument/2006/relationships/hyperlink" Target="http://vgazetep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Finansist-05</cp:lastModifiedBy>
  <cp:revision>62</cp:revision>
  <dcterms:created xsi:type="dcterms:W3CDTF">2024-12-03T11:48:00Z</dcterms:created>
  <dcterms:modified xsi:type="dcterms:W3CDTF">2025-05-16T07:28:31Z</dcterms:modified>
  <cp:version>1048576</cp:version>
</cp:coreProperties>
</file>