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</w:t>
      </w:r>
      <w:bookmarkStart w:id="0" w:name="_GoBack"/>
      <w:bookmarkEnd w:id="0"/>
      <w:r w:rsidR="00B231FB" w:rsidRPr="00B231FB">
        <w:t>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г. Ханты-Мансийск), принимающим (принимавшим) участие в специальной военной операции</w:t>
      </w:r>
      <w:proofErr w:type="gramEnd"/>
      <w:r w:rsidRPr="00E56A7F">
        <w:t xml:space="preserve"> </w:t>
      </w:r>
      <w:proofErr w:type="gramStart"/>
      <w:r w:rsidRPr="00E56A7F">
        <w:t>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</w:t>
      </w:r>
      <w:proofErr w:type="gramEnd"/>
      <w:r w:rsidRPr="00E56A7F">
        <w:t xml:space="preserve"> </w:t>
      </w:r>
      <w:proofErr w:type="gramStart"/>
      <w:r w:rsidRPr="00E56A7F">
        <w:t>по одной из указанных статей Уголовного кодекса Российской Федерации), заключившим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комиссариат Ханты-Мансийского автономного округа - Югры и заключившим контракт о прохождении военной службы для участия в выполнении задач в ходе специальной военной операции в соответствии с пунктом 7 статьи 38 Федерального</w:t>
      </w:r>
      <w:proofErr w:type="gramEnd"/>
      <w:r w:rsidRPr="00E56A7F">
        <w:t xml:space="preserve"> </w:t>
      </w:r>
      <w:proofErr w:type="gramStart"/>
      <w:r w:rsidRPr="00E56A7F">
        <w:t>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</w:t>
      </w:r>
      <w:proofErr w:type="gramEnd"/>
      <w:r w:rsidRPr="00E56A7F">
        <w:t xml:space="preserve">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16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185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6750-9FB8-42E5-995A-29560D8E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2026-01-29T10:15:00Z</dcterms:created>
  <dcterms:modified xsi:type="dcterms:W3CDTF">2026-01-29T10:15:00Z</dcterms:modified>
</cp:coreProperties>
</file>