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DB" w:rsidRPr="00A939DB" w:rsidRDefault="00A939DB" w:rsidP="00A939DB">
      <w:pPr>
        <w:pStyle w:val="aa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939DB">
        <w:rPr>
          <w:rFonts w:ascii="Times New Roman" w:hAnsi="Times New Roman" w:cs="Times New Roman"/>
          <w:b/>
          <w:sz w:val="24"/>
          <w:lang w:eastAsia="ru-RU"/>
        </w:rPr>
        <w:t xml:space="preserve">Аналитический </w:t>
      </w:r>
      <w:proofErr w:type="spellStart"/>
      <w:r w:rsidRPr="00A939DB">
        <w:rPr>
          <w:rFonts w:ascii="Times New Roman" w:hAnsi="Times New Roman" w:cs="Times New Roman"/>
          <w:b/>
          <w:sz w:val="24"/>
          <w:lang w:eastAsia="ru-RU"/>
        </w:rPr>
        <w:t>отчет</w:t>
      </w:r>
      <w:proofErr w:type="spellEnd"/>
    </w:p>
    <w:p w:rsidR="00A939DB" w:rsidRPr="00A939DB" w:rsidRDefault="00A939DB" w:rsidP="00A939DB">
      <w:pPr>
        <w:pStyle w:val="aa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939DB">
        <w:rPr>
          <w:rFonts w:ascii="Times New Roman" w:hAnsi="Times New Roman" w:cs="Times New Roman"/>
          <w:b/>
          <w:sz w:val="24"/>
          <w:lang w:eastAsia="ru-RU"/>
        </w:rPr>
        <w:t>о результатах социологического опроса жителей города Покачи</w:t>
      </w:r>
    </w:p>
    <w:p w:rsidR="00A939DB" w:rsidRPr="00A939DB" w:rsidRDefault="00A939DB" w:rsidP="00A939DB">
      <w:pPr>
        <w:pStyle w:val="aa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939DB">
        <w:rPr>
          <w:rFonts w:ascii="Times New Roman" w:hAnsi="Times New Roman" w:cs="Times New Roman"/>
          <w:b/>
          <w:sz w:val="24"/>
          <w:lang w:eastAsia="ru-RU"/>
        </w:rPr>
        <w:t>по выявлению основ идентичности города</w:t>
      </w:r>
    </w:p>
    <w:p w:rsidR="00A939DB" w:rsidRPr="00A939DB" w:rsidRDefault="00A939DB" w:rsidP="00A939DB">
      <w:pPr>
        <w:pStyle w:val="aa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A939DB" w:rsidRPr="00A939DB" w:rsidRDefault="00A939DB" w:rsidP="00A939DB">
      <w:pPr>
        <w:pStyle w:val="aa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939DB">
        <w:rPr>
          <w:rFonts w:ascii="Times New Roman" w:hAnsi="Times New Roman" w:cs="Times New Roman"/>
          <w:b/>
          <w:sz w:val="24"/>
          <w:lang w:eastAsia="ru-RU"/>
        </w:rPr>
        <w:t>I.       Организация социологического опроса.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Социологический опрос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по инициативе депутатов Думы города и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аппарата Думы города.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опроса: </w:t>
      </w:r>
      <w:r w:rsidRPr="00A939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заочное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(респондент отвечает на вопросы анкеты в отсутствии исследователя), </w:t>
      </w:r>
      <w:r w:rsidRPr="00A939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выборочное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(опрашивается определённая часть населения), </w:t>
      </w:r>
      <w:r w:rsidRPr="00A939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почтовое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(анкеты рассылаются респондентам и возвращаются исследователю по почте)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39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анкетирование.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опроса: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 - апрель 2017 года.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 опроса: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основ идентичности города - понимание того, что жители думают о своём городе, как они его видят и чувствуют, что хотели бы изменить и какие мероприятия к 25-летнему юбилею города их бы порадовали.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анкеты: 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социально-демографическая характеристика респондентов (пол, возраст, род деятельности, уровень образования, семейное положение,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оседлость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основная часть - выявление основ идентичности города (понимание того, что жители думают о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городе, как они его видят и чувствуют); дополнительная часть - выявление запросов жителей к 25-летнему юбилею города.</w:t>
      </w:r>
      <w:proofErr w:type="gramEnd"/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Выборка.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анкетировании приняли участие сотрудники 23 учреждений и организаций, всего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635 человек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3.6% проживающего в городе населения.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20"/>
        <w:gridCol w:w="3255"/>
      </w:tblGrid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зарегистрировано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городе на 01. 01. 2017 года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17 905 (человек)</w:t>
            </w: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Приняли участие 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анкетировании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 (человек)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3.6%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числа жителей,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городе.</w:t>
            </w:r>
          </w:p>
        </w:tc>
      </w:tr>
    </w:tbl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  Социально-демографические характеристики респондентов.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 респондентов (п.14).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20"/>
        <w:gridCol w:w="3255"/>
      </w:tblGrid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Приняли участие 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анкетировании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числа респондентов)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35.3%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числа респондентов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числа респондентов)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62.0%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числа респондентов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идентифицировано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 ответа)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2.7%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числа респондентов</w:t>
            </w:r>
          </w:p>
        </w:tc>
      </w:tr>
    </w:tbl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респондентов (п.15).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20"/>
        <w:gridCol w:w="3210"/>
      </w:tblGrid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респондентов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респондентов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числа респондентов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лет –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35 лет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34.5%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– 45 лет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23.3%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– 55 лет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22.5%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– 65 лет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65 лет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1.9%</w:t>
            </w:r>
          </w:p>
        </w:tc>
      </w:tr>
    </w:tbl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респондентов (п.16)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939DB" w:rsidRPr="00A939DB" w:rsidTr="00A939D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числа респондентов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Начальное, н/среднее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3.5%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2.8%</w:t>
            </w:r>
          </w:p>
        </w:tc>
      </w:tr>
    </w:tbl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 деятельности респондентов (п.17).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105"/>
        <w:gridCol w:w="3090"/>
      </w:tblGrid>
      <w:tr w:rsidR="00A939DB" w:rsidRPr="00A939DB" w:rsidTr="00A939DB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 деятельности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числа респондентов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37.0%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Служащий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37.1%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1.4%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Безработный/неработающий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6.6%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0.5%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Студент, учащийся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8.0%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4.3%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5.0%</w:t>
            </w:r>
          </w:p>
        </w:tc>
      </w:tr>
    </w:tbl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положение респондентов (п.18)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35"/>
        <w:gridCol w:w="3030"/>
      </w:tblGrid>
      <w:tr w:rsidR="00A939DB" w:rsidRPr="00A939DB" w:rsidTr="00A939D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числа респондентов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Холост/не замужем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31.8%</w:t>
            </w: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Женат/замужем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65.7%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2.5%</w:t>
            </w: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proofErr w:type="spellStart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Оседлость</w:t>
      </w:r>
      <w:proofErr w:type="spellEnd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(п.п.12, 13).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35"/>
        <w:gridCol w:w="3225"/>
      </w:tblGrid>
      <w:tr w:rsidR="00A939DB" w:rsidRPr="00A939DB" w:rsidTr="00A939D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респондентов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числа респондентов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Покачи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16.4%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</w:t>
            </w:r>
            <w:proofErr w:type="spellEnd"/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РФ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56.7%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страна (в </w:t>
            </w:r>
            <w:proofErr w:type="spellStart"/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СНГ)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1.7%</w:t>
            </w:r>
          </w:p>
        </w:tc>
      </w:tr>
    </w:tbl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50"/>
        <w:gridCol w:w="3210"/>
      </w:tblGrid>
      <w:tr w:rsidR="00A939DB" w:rsidRPr="00A939DB" w:rsidTr="00A939D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проживания 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числа респондентов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15 лет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25 лет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35.7%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25 лет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25.9%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2.2%</w:t>
            </w:r>
          </w:p>
        </w:tc>
      </w:tr>
    </w:tbl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Выводы. 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в целом достаточно активно приняло участие в анкетировании. Выборка по половозрастному признаку, роду деятельности, образованию, семейному положению и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оседлости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 может считаться репрезентативной.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среди респондентов женщин (62.0%) больше, чем мужчин (35.3%), это за небольшими исключениями серьёзно не повлияло на общие результаты опроса. Разница связана, в основном, с базовыми отличиями гендерного восприятия действительности.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«Ядро» мнений о жизни в городе представлено наиболее экономически активными и самоопределившимися группами населения от 19 до 55 лет (80%). Причём, производственники (37.0%) и представители профессий социальной сферы (37.1%): учителя, медицинские работники, тренеры и т.п. представлены в равных долях и составляют наибольшее число респондентов.  Большинство респондентов имеют высшее (45.0%), среднее специальное или н/высшее (31.8%) образование, т.е. преимущественно зрелые и дееспособные, что оказывает значительное влияние на оценку жизни в городе (стабильность,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желания переехать и т.п.).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Незначительная доля респондентов – это учащиеся/или студенты (8%), а также безработные/или неработающие по возрасту (7%), которые находятся в поисках образования или работы, и желающие переехать в другой город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хочется отметить, что основная часть респондентов – это семейные люди (65.7%), что даёт нам право говорить о нравственных ценностях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покачёвцев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характеризует их отношение к городу как к месту, где безопасно и хорошо детям.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горожан  (104 здесь родились и 392 живут более 15 лет – это 78% опрошенных) уже являются «коренными» жителями, что повышает для них остроту восприятия проблем малой Родины.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III.     Выявление основ идентичности города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(понимание того, что жители думают о </w:t>
      </w:r>
      <w:proofErr w:type="spellStart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своем</w:t>
      </w:r>
      <w:proofErr w:type="spellEnd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городе, как они его видят и чувствуют)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Удовлетворённость текущей жизнью в городе (п.1).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20"/>
        <w:gridCol w:w="3255"/>
      </w:tblGrid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Обстановка в городе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числа респондентов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Благоприятная, хорошая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22.4%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Нормальная, стабильная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66.3%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Кризисная, тревожная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8.7%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вариант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в оценках жителей (п.2)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20"/>
        <w:gridCol w:w="3255"/>
      </w:tblGrid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города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числа респондентов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 и чистый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112                    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17.6%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жизни и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378                  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59.5%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Скучный и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провинциальный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122                    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Уютный и родной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115                    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и безликий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3.3%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вариант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к городу (п. 3).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20"/>
        <w:gridCol w:w="3255"/>
      </w:tblGrid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городу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числа респондентов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54.6%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40.9%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люблю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2.5%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вариант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Переезд (п.п.10,11).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20"/>
        <w:gridCol w:w="3165"/>
      </w:tblGrid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переезда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числа респондентов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49.4%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задумывался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83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бы,</w:t>
            </w:r>
          </w:p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нет возможности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8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097"/>
        <w:gridCol w:w="3112"/>
      </w:tblGrid>
      <w:tr w:rsidR="00A939DB" w:rsidRPr="00A939DB" w:rsidTr="00A939D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Причины переезда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числа респондентов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образования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76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Вернуться в родные места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Благополучие материальное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перспектив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9.8%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могу, нет возможности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9DB" w:rsidRPr="00A939DB" w:rsidTr="00A939D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9DB" w:rsidRPr="00A939DB" w:rsidRDefault="00A939DB" w:rsidP="00A939D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41.1%</w:t>
            </w:r>
          </w:p>
        </w:tc>
      </w:tr>
    </w:tbl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Выводы.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или иной степени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текущей жизнью выразили 89% участников опроса, в то время как доля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неудовлетворенных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25%, т.е. в 3,5 раза меньше. Давая характеристику городу, 59.5% респондентов отмечают его безопасность и удобство для проживания, 18.1% считают город уютным, родным, а 17.6% - красивым и чистым. Искренне любят город более половины участников (54.6%).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Настораживает тот факт, что многие, несмотря на свою «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оседлость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городе, отмечают его провинциальность, серость и безликость (25%), а ещё большее количество относятся к нему нейтрально (40.9%), что говорит об отсутствии у многих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покачёвцев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самоощущения связи с городским сообществом и подчёркивает временность пребывания в нём, безразличие к его будущему.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в характере восприятия города своего проживания играет не только длительность проживания, но также представления о перспективах дальнейшего проживания в нём, выраженные, в том числе, в декларируемом стремлении сменить местожительство. И хотя большинство, 397 </w:t>
      </w:r>
      <w:proofErr w:type="gram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(62.6%), дали отрицательный ответ на данный вопрос, и только 230 (36%) – положительный,  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оттока населения является для города актуальной.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же, несмотря на то, что удовлетворённость текущей в городе жизнью выразили почти 90% респондентов,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причиной, по которой люди хотят уехать является поиск материального благополучия.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других причин граждане также отмечают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возврат в родные места (т.е. город так и не стал настоящей Родиной), трудоустройство и бесперспективность города. 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большинство </w:t>
      </w:r>
      <w:proofErr w:type="gram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желая уехать, не видят при этом реальной возможности уехать жить в другой город. Однако это не умаляет того факта, что большинство жителей не хотят жить в других городах.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Мотив переезда в другой город чаще всего связан не с плохими условиями в </w:t>
      </w:r>
      <w:proofErr w:type="spellStart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Покачах</w:t>
      </w:r>
      <w:proofErr w:type="spellEnd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с лучшими условиями жизни в новом месте, что говорит о позитивной (не негативной) мотивации людей, ответивших на данный вопрос положительно.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 причём как молодой, так и пенсионный, можно считать причиной повышения желания уехать. Одни, соответственно, чтобы учиться, трудоустроиться, другие – в родные края или к детям.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Привлекательность города для жителей (п. 4).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оценка значимости, то есть ценности для коллективного сознания горожан, тех или иных характеристик города, позволили выявить городскую «индивидуальность», видимую самими жителями города и предъявляемую реальным и виртуальным гостям.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Так, в числе характеристик города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распространённым стал термин «спокойный, уютный и безопасный».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респондентов в числе своих симпатий к городу отметили его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компактность, чистоту и доступность объектов социальной инфраструктуры, а также сами объекты, и в целом благоприятствующую, комфортную городскую среду для воспитания и развития детей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среди опрошенных была отмечена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доброжелательность горожан и люди, живущие в городе как его достояние. 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респондента отметили в числе положительных сторон </w:t>
      </w:r>
      <w:r w:rsidRPr="00A939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 пробок на дорогах города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города (п.п.5,6)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распространенными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ответами на вопрос о том, что не нравится в городе,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стали высокие тарифы на жилищно-коммунальные услуги и уровень медицинского обслуживания в городской больнице.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города недовольство горожан вызвали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необустроенные тротуары, несанкционированные свалки в лесах, скопление луж во дворах, и припаркованного транспорта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санитарной обстановки -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бродячих собак, кровососущих насекомых в летний период и отсутствие общественных туалетов.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социального благополучия –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проблемы с трудоустройством, низкая заработная плата, проблемы с досугом </w:t>
      </w:r>
      <w:proofErr w:type="spellStart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молодежи</w:t>
      </w:r>
      <w:proofErr w:type="spellEnd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организацией семейного отдыха, отсутствие в городе филиалов высших учебных заведений.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безопасности населения -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бездействие работников ГИБДД, припаркованные автомобили около садов и на детских площадках.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 проблемы, по мнению горожан, необходимо решать в первую очередь.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    Выявление запросов жителей к празднованию 25-летнего юбилея города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ответы на вопрос о праздничных мероприятиях к юбилею города (п.8) представлены такими предложениями, как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«приглашение популярных артистов» и «праздничный салют»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концертов национальных автономий,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спортивных мероприятий, массовых гуляний, </w:t>
      </w:r>
      <w:proofErr w:type="spellStart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флеш</w:t>
      </w:r>
      <w:proofErr w:type="spellEnd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-мобов, вело и мотопробегов.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«оригинальных»: «Великий шабаш», «Пенная дискотека», «Вечеринка – Голубое озеро 2017», «Денежные выплаты населению от чего и будет рад город».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подарков предлагаемых городу респондентами касаются сферы его благоустройства: </w:t>
      </w:r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обустройство дворовых территорий, озеленение, обустройство парков отдыха в </w:t>
      </w:r>
      <w:proofErr w:type="spellStart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т.ч</w:t>
      </w:r>
      <w:proofErr w:type="spellEnd"/>
      <w:r w:rsidRPr="00A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детских, строительство спортивных и развлекательных центров, покраска фасадов домов. 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респондентов мечтают и о таком подарке, как «Боулинг-клуб», «Аллея Славы», «Алея молодожёнов». Часто встречается предложение по строительству в городе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стеллы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люблю Покачи».</w:t>
      </w:r>
    </w:p>
    <w:p w:rsidR="00A939DB" w:rsidRPr="00A939DB" w:rsidRDefault="00A939DB" w:rsidP="00A939DB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обсуждении кандидатур на звание «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 города» респондентами было предложено 182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покачёвца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упоминаемыми стали Ларионова Раиса Михайловна, учитель – логопед ЦРР-детский сад,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Собур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Анатольевич, председатель профсоюзной организации ТПП «Покачевнефтегаз», Руденко Александр Степанович, руководитель группы подготовки нефти и газа ТПП «Покачевнефтегаз» ООО «ЛУКОЙЛ – </w:t>
      </w:r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Западная Сибирь», Паламар Вера Ивановна, инженер группы транспортного обеспечения ТПП «Покачевнефтегаз», Курбанов Али 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Рагимович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цеха добычи нефти и газа №3 ТПП «Покачевнефтегаз» ООО «ЛУКОЙЛ – Западная Сибирь»,  </w:t>
      </w:r>
      <w:proofErr w:type="spellStart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Дычко</w:t>
      </w:r>
      <w:proofErr w:type="spell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</w:t>
      </w:r>
      <w:proofErr w:type="gramEnd"/>
      <w:r w:rsidRPr="00A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Григорьевна, учитель русского языка и литературы СШ №4, Шевченко Надежда Дмитриевна, учитель математики МАОУ СОШ №1, Зубарев Виктор Николаевич, Учитель физики МАОУ СОШ №4.</w:t>
      </w:r>
    </w:p>
    <w:p w:rsidR="008A34B8" w:rsidRDefault="008A34B8"/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DB"/>
    <w:rsid w:val="008A34B8"/>
    <w:rsid w:val="00A939DB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2018-01-12T10:53:00Z</dcterms:created>
  <dcterms:modified xsi:type="dcterms:W3CDTF">2018-01-12T10:53:00Z</dcterms:modified>
</cp:coreProperties>
</file>