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7" w:type="dxa"/>
        <w:tblInd w:w="392" w:type="dxa"/>
        <w:tblLook w:val="04A0" w:firstRow="1" w:lastRow="0" w:firstColumn="1" w:lastColumn="0" w:noHBand="0" w:noVBand="1"/>
      </w:tblPr>
      <w:tblGrid>
        <w:gridCol w:w="620"/>
        <w:gridCol w:w="20"/>
        <w:gridCol w:w="2840"/>
        <w:gridCol w:w="1200"/>
        <w:gridCol w:w="3000"/>
        <w:gridCol w:w="1620"/>
        <w:gridCol w:w="960"/>
        <w:gridCol w:w="660"/>
        <w:gridCol w:w="300"/>
        <w:gridCol w:w="960"/>
        <w:gridCol w:w="960"/>
        <w:gridCol w:w="960"/>
        <w:gridCol w:w="217"/>
        <w:gridCol w:w="743"/>
        <w:gridCol w:w="217"/>
        <w:gridCol w:w="960"/>
      </w:tblGrid>
      <w:tr w:rsidR="007C6979" w:rsidRPr="00ED270A" w:rsidTr="007C6979">
        <w:trPr>
          <w:gridAfter w:val="3"/>
          <w:wAfter w:w="1920" w:type="dxa"/>
          <w:trHeight w:val="27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Default="007C6979" w:rsidP="007C69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bookmarkStart w:id="0" w:name="_GoBack"/>
            <w:bookmarkEnd w:id="0"/>
          </w:p>
          <w:p w:rsidR="007C6979" w:rsidRDefault="007C6979" w:rsidP="007C69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 Думы города Покачи</w:t>
            </w:r>
          </w:p>
          <w:p w:rsidR="007C6979" w:rsidRDefault="007C6979" w:rsidP="007C69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___________ № ____________</w:t>
            </w:r>
          </w:p>
          <w:p w:rsidR="007C6979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79" w:rsidRPr="00F83053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характеризующие </w:t>
            </w:r>
            <w:r w:rsidRPr="00F8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администрацией города Покачи </w:t>
            </w:r>
          </w:p>
          <w:p w:rsidR="007C6979" w:rsidRPr="00F83053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государственных полномочий, переданных органам местного самоуправления </w:t>
            </w:r>
          </w:p>
          <w:p w:rsidR="007C6979" w:rsidRDefault="007C6979" w:rsidP="007C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053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Покачи в соответствии с действующим законодательством</w:t>
            </w:r>
          </w:p>
          <w:p w:rsidR="007C6979" w:rsidRPr="00E171DD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979" w:rsidRPr="00ED270A" w:rsidTr="007C6979">
        <w:trPr>
          <w:gridAfter w:val="3"/>
          <w:wAfter w:w="1920" w:type="dxa"/>
          <w:trHeight w:val="131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39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7C6979" w:rsidRPr="00ED270A" w:rsidTr="007C6979">
        <w:trPr>
          <w:gridAfter w:val="3"/>
          <w:wAfter w:w="1920" w:type="dxa"/>
          <w:trHeight w:val="1592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714C2C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  <w:p w:rsidR="007C6979" w:rsidRPr="00714C2C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Закон ХМАО-Югры30.09.2008 года №91-оз (ред.16.04.2015) </w:t>
            </w:r>
          </w:p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«О наделении органов местного самоуправления муниципальных образований ХМАО-Югры отдельными государственными полномочиями в сфере государственной регистрации актов гражданского состояния»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</w:tr>
      <w:tr w:rsidR="007C6979" w:rsidRPr="00ED270A" w:rsidTr="007C6979">
        <w:trPr>
          <w:gridAfter w:val="3"/>
          <w:wAfter w:w="1920" w:type="dxa"/>
          <w:trHeight w:val="1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организационных функций по государственной регистрации актов гражданского состояни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рождения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</w:tr>
      <w:tr w:rsidR="007C6979" w:rsidRPr="00ED270A" w:rsidTr="007C6979">
        <w:trPr>
          <w:trHeight w:val="2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заключения брака</w:t>
            </w:r>
          </w:p>
        </w:tc>
        <w:tc>
          <w:tcPr>
            <w:tcW w:w="33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53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расторжения брака</w:t>
            </w:r>
          </w:p>
        </w:tc>
        <w:tc>
          <w:tcPr>
            <w:tcW w:w="33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39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усыновления, удочерения</w:t>
            </w:r>
          </w:p>
        </w:tc>
        <w:tc>
          <w:tcPr>
            <w:tcW w:w="33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4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егистраций установления отцовства</w:t>
            </w:r>
          </w:p>
        </w:tc>
        <w:tc>
          <w:tcPr>
            <w:tcW w:w="339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5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смерти</w:t>
            </w:r>
          </w:p>
        </w:tc>
        <w:tc>
          <w:tcPr>
            <w:tcW w:w="339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6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перемены имени</w:t>
            </w:r>
          </w:p>
        </w:tc>
        <w:tc>
          <w:tcPr>
            <w:tcW w:w="339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82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1F05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F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1F05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F05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отдельные государственные полномочия по предоставлению субсидий за счет субвенций из федерального бюджета для обеспечения жилыми помещениями категорий граждан, определенных </w:t>
            </w:r>
            <w:r w:rsidRPr="00F8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 законодательством на территории города Покачи</w:t>
            </w:r>
          </w:p>
          <w:p w:rsidR="007C6979" w:rsidRPr="00F81F05" w:rsidRDefault="007C6979" w:rsidP="007C6979">
            <w:pPr>
              <w:pStyle w:val="ConsPlusNormal"/>
              <w:jc w:val="both"/>
            </w:pPr>
            <w:r w:rsidRPr="00F81F05">
              <w:t xml:space="preserve">Закон ХМАО - Югры от 31.03.2009 №36-оз (ред. от 20.02.2015) </w:t>
            </w:r>
          </w:p>
          <w:p w:rsidR="007C6979" w:rsidRPr="00F81F05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F05">
              <w:rPr>
                <w:rFonts w:ascii="Times New Roman" w:hAnsi="Times New Roman" w:cs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1F05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Утверждение муниципальных правовых актов о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отдельного </w:t>
            </w:r>
            <w:r w:rsidRPr="00F81F05">
              <w:rPr>
                <w:rFonts w:ascii="Times New Roman" w:hAnsi="Times New Roman" w:cs="Times New Roman"/>
                <w:sz w:val="20"/>
                <w:szCs w:val="20"/>
              </w:rPr>
              <w:t>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или отсутствии муниципального правового акта 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государственного полномочия с указанием реквизитов основного документа и количества внесенных изменений в основной документ </w:t>
            </w:r>
          </w:p>
        </w:tc>
        <w:tc>
          <w:tcPr>
            <w:tcW w:w="339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40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F81F05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F81F05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1F05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предоставленных субсидий.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получивших субсидию</w:t>
            </w:r>
          </w:p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умма предоставлен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69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979" w:rsidRPr="00714C2C" w:rsidRDefault="007C6979" w:rsidP="007C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Об осуществлении переданного отдельного государственного полномочия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</w:t>
            </w:r>
          </w:p>
          <w:p w:rsidR="007C6979" w:rsidRPr="00714C2C" w:rsidRDefault="007C6979" w:rsidP="007C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79" w:rsidRPr="00714C2C" w:rsidRDefault="007C6979" w:rsidP="007C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Закон ХМАО - Югры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31.03.2009 № 36-оз (ред. от 20.02.2015)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для обеспечения жилыми помещениями отдельных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категорий граждан, определенных федеральным законодательством»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правовых актов 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муниципального правового акта 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89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граждан, поставленных на учет граждан, имеющих право на получение жилищных субсидий, выезжающих из районов Крайнего Севера и приравненных к ним местностей</w:t>
            </w:r>
          </w:p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умма предоставленных субсидий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8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Переданные отдельные государственные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      </w:r>
            <w:proofErr w:type="gramEnd"/>
          </w:p>
          <w:p w:rsidR="007C6979" w:rsidRPr="00714C2C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79" w:rsidRPr="00714C2C" w:rsidRDefault="007C6979" w:rsidP="007C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Закон ХМАО - Югры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09.06.2009 № 86-оз (ред. от 23.12.2016) «О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округе-Югре»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правовых актов 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муниципального правового акта 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89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специализированного жилищного фонда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получивших жилое помещение специализированного жилищного фонда по договору найма специализированного жилого помещения.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54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административных комиссий </w:t>
            </w:r>
          </w:p>
          <w:p w:rsidR="007C6979" w:rsidRPr="00714C2C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79" w:rsidRDefault="007C6979" w:rsidP="007C6979">
            <w:pPr>
              <w:pStyle w:val="ConsPlusNormal"/>
              <w:jc w:val="both"/>
            </w:pPr>
            <w:r w:rsidRPr="00714C2C">
              <w:t>Закон ХМАО - Югры от 11.06.2010 №102-оз (ред. от 27.11.2015)</w:t>
            </w:r>
          </w:p>
          <w:p w:rsidR="007C6979" w:rsidRPr="00714C2C" w:rsidRDefault="007C6979" w:rsidP="007C6979">
            <w:pPr>
              <w:pStyle w:val="ConsPlusNormal"/>
              <w:jc w:val="both"/>
            </w:pPr>
            <w:r w:rsidRPr="00714C2C">
              <w:t>«Об административных правонарушениях» (</w:t>
            </w:r>
            <w:proofErr w:type="gramStart"/>
            <w:r w:rsidRPr="00714C2C">
              <w:t>принят</w:t>
            </w:r>
            <w:proofErr w:type="gramEnd"/>
            <w:r w:rsidRPr="00714C2C">
              <w:t xml:space="preserve"> Думой Ханты-Мансийского автономного округа - Югры 04.06.2010) (с изм. и доп., вступающими в силу с 10.12.2015)</w:t>
            </w:r>
          </w:p>
          <w:p w:rsidR="007C6979" w:rsidRPr="00714C2C" w:rsidRDefault="007C6979" w:rsidP="007C6979">
            <w:pPr>
              <w:pStyle w:val="ConsPlusNormal"/>
              <w:jc w:val="both"/>
            </w:pPr>
          </w:p>
          <w:p w:rsidR="007C6979" w:rsidRDefault="007C6979" w:rsidP="007C6979">
            <w:pPr>
              <w:pStyle w:val="ConsPlusNormal"/>
              <w:jc w:val="both"/>
            </w:pPr>
            <w:r w:rsidRPr="00714C2C">
              <w:t>Закон ХМАО - Югры от 02.03.2009 №5-оз (ред. от 27.09.2015)</w:t>
            </w:r>
          </w:p>
          <w:p w:rsidR="007C6979" w:rsidRPr="00714C2C" w:rsidRDefault="007C6979" w:rsidP="007C6979">
            <w:pPr>
              <w:pStyle w:val="ConsPlusNormal"/>
              <w:jc w:val="both"/>
            </w:pPr>
            <w:r w:rsidRPr="00714C2C">
              <w:t>«Об административных комиссиях в Ханты-Мансийском автономном округе – Югре» (</w:t>
            </w:r>
            <w:proofErr w:type="gramStart"/>
            <w:r w:rsidRPr="00714C2C">
              <w:t>принят</w:t>
            </w:r>
            <w:proofErr w:type="gramEnd"/>
            <w:r w:rsidRPr="00714C2C">
              <w:t xml:space="preserve"> Думой Ханты-Мансийского автономного округа - Югры 20.02.2009) (с изм. и доп., вступающими в силу с 01.01.2016)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 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360372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9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рассмотренных дел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360372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5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предписаний об устранении причин, способствующих совершению административных правонарушений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аправление исполнительных листов судебным исполнителям в срок установленный законом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979" w:rsidRPr="00714C2C" w:rsidRDefault="007C6979" w:rsidP="007C6979">
            <w:pPr>
              <w:pStyle w:val="ConsPlusNormal"/>
              <w:jc w:val="both"/>
            </w:pPr>
            <w:r w:rsidRPr="00714C2C">
              <w:t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</w:t>
            </w:r>
          </w:p>
          <w:p w:rsidR="007C6979" w:rsidRPr="00714C2C" w:rsidRDefault="007C6979" w:rsidP="007C6979">
            <w:pPr>
              <w:pStyle w:val="ConsPlusNormal"/>
              <w:jc w:val="both"/>
            </w:pPr>
          </w:p>
          <w:p w:rsidR="007C6979" w:rsidRDefault="007C6979" w:rsidP="007C6979">
            <w:pPr>
              <w:pStyle w:val="ConsPlusNormal"/>
              <w:jc w:val="both"/>
            </w:pPr>
            <w:r w:rsidRPr="00714C2C">
              <w:t>Закон ХМАО - Югры от 09.06.2009 №86-оз (ред. от 30.01.2016)</w:t>
            </w:r>
          </w:p>
          <w:p w:rsidR="007C6979" w:rsidRPr="00714C2C" w:rsidRDefault="007C6979" w:rsidP="007C6979">
            <w:pPr>
              <w:pStyle w:val="ConsPlusNormal"/>
              <w:jc w:val="both"/>
            </w:pPr>
            <w:r w:rsidRPr="00714C2C">
              <w:t xml:space="preserve">«О дополнительных гарантиях и дополнительных мерах </w:t>
            </w:r>
            <w:r w:rsidRPr="00714C2C">
              <w:lastRenderedPageBreak/>
              <w:t xml:space="preserve">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714C2C">
              <w:t>в</w:t>
            </w:r>
            <w:proofErr w:type="gramEnd"/>
            <w:r>
              <w:t xml:space="preserve"> </w:t>
            </w:r>
            <w:proofErr w:type="gramStart"/>
            <w:r w:rsidRPr="00714C2C">
              <w:t>Ханты-Мансийском</w:t>
            </w:r>
            <w:proofErr w:type="gramEnd"/>
            <w:r w:rsidRPr="00714C2C">
              <w:t xml:space="preserve"> автономном округе – Югре»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аличие или отсутствие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 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96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6927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пособия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06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927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либо наличие 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20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BA6927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семью, а также усыновителям на содержание усыновленного (удочеренного) ребенка, лицам, из числа детей – сирот и детей, оставшихся без попечения родителей, и гражданам в возрасте от 18 лет и старше, потерявшим в период обучения в общеобразовательной</w:t>
            </w:r>
            <w:proofErr w:type="gramEnd"/>
            <w:r w:rsidRPr="00BA69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организации единственного или обоих родителей, в период обучения в общеобразовательной организации по очной форме обучения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ежемесячной выплаты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47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BA6927">
              <w:rPr>
                <w:rFonts w:ascii="Times New Roman" w:hAnsi="Times New Roman"/>
                <w:sz w:val="20"/>
                <w:szCs w:val="20"/>
              </w:rPr>
              <w:t>Назначение ежемесячной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BA6927">
              <w:rPr>
                <w:rFonts w:ascii="Times New Roman" w:hAnsi="Times New Roman"/>
                <w:sz w:val="20"/>
                <w:szCs w:val="20"/>
              </w:rPr>
              <w:t xml:space="preserve"> либо собственниками жилых помещений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FB6E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ежемесячной выплаты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7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FB6E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5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6927">
              <w:rPr>
                <w:rFonts w:ascii="Times New Roman" w:hAnsi="Times New Roman"/>
                <w:sz w:val="20"/>
                <w:szCs w:val="20"/>
              </w:rPr>
              <w:t>Назначение единовременного денежного пособия детям-сиротам и детям, оставшимся без попечения 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FB6E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пособия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84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FB6E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927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либо наличие 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11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FB6E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6927">
              <w:rPr>
                <w:rFonts w:ascii="Times New Roman" w:hAnsi="Times New Roman"/>
                <w:sz w:val="20"/>
                <w:szCs w:val="20"/>
              </w:rPr>
              <w:t xml:space="preserve">Назначение денежной компенсации детям-сиротам и детям, оставшимся без попечения родителей, воспитывающимся в семьях опекунов или попечителей, приемных семьях,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lastRenderedPageBreak/>
              <w:t>лицам из числа детей-сирот и детей, оставшихся без попечения родителей, по окончании ими общеобразовательных организаций взамен одежды, обуви, мягкого инвентаря и оборудования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FB6E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компенсации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18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927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либо наличие 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BA6927">
              <w:rPr>
                <w:rFonts w:ascii="Times New Roman" w:hAnsi="Times New Roman"/>
                <w:sz w:val="20"/>
                <w:szCs w:val="20"/>
              </w:rPr>
              <w:t>Назначение ежемесячных денежных выплат детям-сиротам и детям, оставшимся без попечения родителей,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на проезд на городском, пригородном транспорте, в сельской местности на внутрирайонном транспорте (кроме такси)</w:t>
            </w:r>
            <w:proofErr w:type="gramEnd"/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ежемесячных выплат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9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37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6927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r w:rsidRPr="00BA69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денежных выплат, связанных с возмещением детям-сиротам и детям, оставшимся без попечения родителей, лицам из числа детей-сирот и детей, оставшихся без попечения родителей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расходов на приобретение путевок, курсовок в оздоровительные</w:t>
            </w:r>
            <w:proofErr w:type="gramEnd"/>
            <w:r w:rsidRPr="00BA6927">
              <w:rPr>
                <w:rFonts w:ascii="Times New Roman" w:hAnsi="Times New Roman"/>
                <w:sz w:val="20"/>
                <w:szCs w:val="20"/>
              </w:rPr>
              <w:t xml:space="preserve"> лагеря или санаторно-курортные организации (при наличии медицинских показаний) и оплату проезда к месту лечения (оздоровления) и обратно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выплат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6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35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BA6927">
              <w:rPr>
                <w:rFonts w:ascii="Times New Roman" w:hAnsi="Times New Roman"/>
                <w:sz w:val="20"/>
                <w:szCs w:val="20"/>
              </w:rPr>
              <w:t xml:space="preserve">Назначение денежных выплат по оплате ежегодного проезда детям-сиротам и детям, оставшимся без попечения родителей, воспитывающимся в семьях опекунов или попечителей, приемных семьях и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lastRenderedPageBreak/>
              <w:t>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к месту жительства и обратно к месту</w:t>
            </w:r>
            <w:proofErr w:type="gramEnd"/>
            <w:r w:rsidRPr="00BA6927">
              <w:rPr>
                <w:rFonts w:ascii="Times New Roman" w:hAnsi="Times New Roman"/>
                <w:sz w:val="20"/>
                <w:szCs w:val="20"/>
              </w:rPr>
              <w:t xml:space="preserve"> учебы по фактическим расходам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выплат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08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3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FB6E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6927">
              <w:rPr>
                <w:rFonts w:ascii="Times New Roman" w:hAnsi="Times New Roman"/>
                <w:sz w:val="20"/>
                <w:szCs w:val="20"/>
              </w:rPr>
              <w:t>Назначение и предоставление вознаграждения приемным родителям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вознаграждения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69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 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87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927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воспитывающихся в семьях опекунов или попечителей, приемных семьях, лиц из числа детей-сирот и детей, оставшихся без попечения родителей, по окончании ими общеобразовательных организаций одеждой, обувью, мягким инвентарем и оборудованием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меры социальной поддержки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8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 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6927">
              <w:rPr>
                <w:rFonts w:ascii="Times New Roman" w:hAnsi="Times New Roman"/>
                <w:sz w:val="20"/>
                <w:szCs w:val="20"/>
              </w:rP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</w:t>
            </w:r>
            <w:proofErr w:type="gramEnd"/>
            <w:r w:rsidRPr="00BA6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A6927"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 w:rsidRPr="00BA6927">
              <w:rPr>
                <w:rFonts w:ascii="Times New Roman" w:hAnsi="Times New Roman"/>
                <w:sz w:val="20"/>
                <w:szCs w:val="20"/>
              </w:rPr>
              <w:t xml:space="preserve"> медицинских показаний) и по оплате проезда к месту лечения (оздоровления) и обратно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меры социальной поддержки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47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 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8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6927">
              <w:rPr>
                <w:rFonts w:ascii="Times New Roman" w:hAnsi="Times New Roman"/>
                <w:sz w:val="20"/>
                <w:szCs w:val="20"/>
              </w:rPr>
              <w:t>Ремонт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меры социальной поддержки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29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 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88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6927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BA692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      </w:r>
            <w:proofErr w:type="gramEnd"/>
            <w:r w:rsidRPr="00BA69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BA6927">
              <w:rPr>
                <w:rFonts w:ascii="Times New Roman" w:hAnsi="Times New Roman"/>
                <w:sz w:val="20"/>
                <w:szCs w:val="20"/>
              </w:rPr>
              <w:t>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  <w:r w:rsidRPr="00BA692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      </w:r>
            <w:proofErr w:type="gramEnd"/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меры социальной поддержки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369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 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897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6927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использованием жилых помещений и (или) распоряжением жилыми помещениями, а также обеспечением надлежащего санитарного и технического </w:t>
            </w:r>
            <w:r w:rsidRPr="00BA6927">
              <w:rPr>
                <w:rFonts w:ascii="Times New Roman" w:hAnsi="Times New Roman"/>
                <w:sz w:val="20"/>
                <w:szCs w:val="20"/>
              </w:rPr>
              <w:lastRenderedPageBreak/>
              <w:t>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период их нахождения в организациях</w:t>
            </w:r>
            <w:proofErr w:type="gramEnd"/>
            <w:r w:rsidRPr="00BA6927">
              <w:rPr>
                <w:rFonts w:ascii="Times New Roman" w:hAnsi="Times New Roman"/>
                <w:sz w:val="20"/>
                <w:szCs w:val="20"/>
              </w:rPr>
              <w:t xml:space="preserve"> для детей-сирот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оличество лиц, являющихся получателями меры социальной поддержки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725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BA6927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6927">
              <w:rPr>
                <w:rFonts w:ascii="Times New Roman" w:hAnsi="Times New Roman"/>
                <w:sz w:val="20"/>
                <w:szCs w:val="20"/>
              </w:rPr>
              <w:t>тсутствие или наличие жалоб со стороны получателей меры социальной поддержки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59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714C2C" w:rsidRDefault="007C6979" w:rsidP="007C6979">
            <w:pPr>
              <w:pStyle w:val="ConsPlusNormal"/>
              <w:jc w:val="both"/>
            </w:pPr>
            <w:r w:rsidRPr="00714C2C">
              <w:t xml:space="preserve">Поддержка сельскохозяйственного производства и деятельности по заготовке и переработке дикоросов </w:t>
            </w:r>
          </w:p>
          <w:p w:rsidR="007C6979" w:rsidRPr="00714C2C" w:rsidRDefault="007C6979" w:rsidP="007C6979">
            <w:pPr>
              <w:pStyle w:val="ConsPlusNormal"/>
              <w:jc w:val="both"/>
            </w:pPr>
          </w:p>
          <w:p w:rsidR="007C6979" w:rsidRDefault="007C6979" w:rsidP="007C6979">
            <w:pPr>
              <w:pStyle w:val="ConsPlusNormal"/>
              <w:jc w:val="both"/>
            </w:pPr>
            <w:r w:rsidRPr="00714C2C">
              <w:t xml:space="preserve">Закон ХМАО - Югры от 16.12.2010 №228-оз (ред. от 11.12.2013) </w:t>
            </w:r>
          </w:p>
          <w:p w:rsidR="007C6979" w:rsidRPr="00714C2C" w:rsidRDefault="007C6979" w:rsidP="007C6979">
            <w:pPr>
              <w:pStyle w:val="ConsPlusNormal"/>
              <w:jc w:val="both"/>
            </w:pPr>
            <w:r w:rsidRPr="00714C2C">
              <w:t>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проектов муниципальных правовых актов разработанных и утвержденных в установленном порядке (с реквизитами основного документа и указать количество внесенных 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 основной документ)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F83053" w:rsidRDefault="007C6979" w:rsidP="00FB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6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 количество программ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указанием реквизитов основного документа и указанием количества внесенных изменений в основной документ), перечень основных мероприятий программ планируемых к реализации за отчетный период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F83053" w:rsidRDefault="007C6979" w:rsidP="00FB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показателя, указанного в программе; соотношение числовых показателей на всю программу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EE5">
              <w:rPr>
                <w:rFonts w:ascii="Times New Roman" w:hAnsi="Times New Roman" w:cs="Times New Roman"/>
                <w:sz w:val="20"/>
                <w:szCs w:val="20"/>
              </w:rPr>
              <w:t>(план/факт)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3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казать фактически выполненные мероприятия за отчетный период, в случае отклонения от плана пояснить причину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542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 и заключение соглашений на предоставление субсидий для поддержки сельхозпроизводителя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заключенных соглашений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контрагента</w:t>
            </w:r>
          </w:p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заключенных дополнительных соглашений к основным соглашениям </w:t>
            </w:r>
          </w:p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умма выплаченных субсидий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сельхозпроизводителей на территории города получающих субсидии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заявлений и подготовка документов для выплаты субсидий сельхозпроизводителям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обращений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положительно рассмотренных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выплаченных субсидий и объемы реализованной продукции сельхозпроизводителей на территории города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69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участие в проведении проверок состояния объектов сельхозпроизводителей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проводимых проверок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составленных актов</w:t>
            </w:r>
          </w:p>
        </w:tc>
        <w:tc>
          <w:tcPr>
            <w:tcW w:w="33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положительных отрицательных заключений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1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 для обеспечения финансирования за счет средств ХМАО-Югры субсидий на поддержку сельхозпроизводителям территории города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заявок и суммы для обеспечения финансирования сельхозпроизводителей </w:t>
            </w:r>
          </w:p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уммы по запросам/ фактически профинансированные</w:t>
            </w:r>
          </w:p>
        </w:tc>
        <w:tc>
          <w:tcPr>
            <w:tcW w:w="339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уммы выплаченных субсидий сельхозпроизводителям, количество реализованного молока, мяса местного производства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66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DC529A" w:rsidRDefault="007C6979" w:rsidP="007C6979">
            <w:pPr>
              <w:pStyle w:val="ConsPlusNormal"/>
              <w:jc w:val="both"/>
            </w:pPr>
            <w:r w:rsidRPr="00DC529A">
              <w:t>Осуществление деятельности по опеке и попечительству</w:t>
            </w:r>
          </w:p>
          <w:p w:rsidR="007C6979" w:rsidRPr="00DC529A" w:rsidRDefault="007C6979" w:rsidP="007C6979">
            <w:pPr>
              <w:pStyle w:val="ConsPlusNormal"/>
              <w:jc w:val="both"/>
            </w:pPr>
          </w:p>
          <w:p w:rsidR="007C6979" w:rsidRDefault="007C6979" w:rsidP="007C6979">
            <w:pPr>
              <w:pStyle w:val="ConsPlusNormal"/>
              <w:jc w:val="both"/>
            </w:pPr>
            <w:r w:rsidRPr="00DC529A">
              <w:t xml:space="preserve">Закон ХМАО - Югры от 20.07.2007№114-оз (ред. от 16.04.2015) </w:t>
            </w:r>
          </w:p>
          <w:p w:rsidR="007C6979" w:rsidRPr="00DC529A" w:rsidRDefault="007C6979" w:rsidP="007C6979">
            <w:pPr>
              <w:pStyle w:val="ConsPlusNormal"/>
              <w:jc w:val="both"/>
            </w:pPr>
            <w:r w:rsidRPr="00DC529A">
              <w:t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 (</w:t>
            </w:r>
            <w:proofErr w:type="gramStart"/>
            <w:r w:rsidRPr="00DC529A">
              <w:t>принят</w:t>
            </w:r>
            <w:proofErr w:type="gramEnd"/>
            <w:r w:rsidRPr="00DC529A">
              <w:t xml:space="preserve"> Думой Ханты-Мансийского автономного округа - Югры 12.07.2007) (с изм. и доп., вступающими в силу с 01.07.2015)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еквизитов основного документа и количества внесенных изменений в основной документ 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712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выявленных граждан нуждающихся в установлении над ними поставленных на учет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поставленных на учет граждан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11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 или был ограничен в дееспособности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обращений в суд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5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опеки или попечительства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человек, над которыми оформлена опека или попечительство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актов обследования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жилищно – бытовых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условий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решений судов, вступивших в законную силу об отмене решений, принятых в результате обследования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39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Освобождение и отстранение в соответствии с федеральным законодательством опекунов и попечителей от исполнения ими своих обязанностей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постановлений администрации города об отстранении опекуна от выполнения ими обязанностей опекуна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2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решений судов,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вступивших в законную силу об отмене решений, принятых в результате обследования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89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 соответствии с федеральным законодательством разрешений на совершение сделок с имуществом подопечных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рассмотренных заявлений</w:t>
            </w:r>
          </w:p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разрешений</w:t>
            </w:r>
          </w:p>
        </w:tc>
        <w:tc>
          <w:tcPr>
            <w:tcW w:w="3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80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FB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решений судов, вступивших в законную силу об отмене решений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8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договоров доверительного управления имуществом подопечных в соответствии с Гражданским кодексом Российской Федерации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заключенных договоров (с указанием реквизитов, с кем)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309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законных интересов несовершеннолетних граждан и недееспособных граждан, находящихся под опекой или попечительством, в отношении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 подопечных.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сообщений о нарушении законных интересов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рассмотренных обращений граждан</w:t>
            </w:r>
          </w:p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выданных разрешений</w:t>
            </w:r>
          </w:p>
        </w:tc>
        <w:tc>
          <w:tcPr>
            <w:tcW w:w="339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268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реестра (включается все поступившие заявления)</w:t>
            </w:r>
          </w:p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принятых заявлений от граждан</w:t>
            </w:r>
          </w:p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выданных заключений о возможности быть опекунами или попечителями либо принять детей, оставшихся без попечения родителей,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в семью на воспитание в иных установленных семейным законодательством формах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62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граждан, выразивших желание принять семью на воспитание ребенка (детей), оставшегося (оставшихся) без попечения родителей, в установленном порядке и в соответствии с программой, утвержденной уполномоченным органом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211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Проверка условий жизни подопечных, соблюдения опекунами и попечите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выданных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 xml:space="preserve">актов обследования </w:t>
            </w:r>
            <w:proofErr w:type="gramStart"/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жилищно – бытовых</w:t>
            </w:r>
            <w:proofErr w:type="gramEnd"/>
            <w:r w:rsidRPr="00A311E4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подопечных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Издание актов по вопросам, возникающим в связи с установлением, осуществлением и прекращением опеки или попечительства, отобранием ребенка у родителей или других лиц, на попечении которых он находится, при непосредственной угрозе его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или здоровью, а также в случаях, установленных законодательством Российской Федерации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принятых нормативных правовых актов, разработанных и утвержденных в установленном порядке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указанием реквизитов основного документа и указанием количества внесенных 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основной документ) 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40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12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лиц, назначенных в качестве помощников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12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опекуна и попечителя в порядке и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лиц, нуждающихся в представлении его прав и интересов</w:t>
            </w:r>
          </w:p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выданных доверенностей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37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 на основании изданного органами опеки и попечительства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детей, отобранных при угрозе его жизни или здоровью</w:t>
            </w:r>
          </w:p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исков об ограничении или лишении родительских прав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237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Направление в орган, осуществляющий государственную регистрацию прав на недвижимое имущество и сделок с ним, све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 о проживающих в жилом помещении членах семьи собственника данного жилого помещения, находящихся под опекой и попечительством, либо несовершен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softHyphen/>
              <w:t>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направленных уведомлений</w:t>
            </w:r>
          </w:p>
        </w:tc>
        <w:tc>
          <w:tcPr>
            <w:tcW w:w="33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Дача согласий на отчуждение и (или) на передачу в ипотеку жилого помещения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рассмотренных заявлений</w:t>
            </w:r>
          </w:p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выданных согласий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41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случаев участия органа опеки в защите прав наследственных несовершеннолетних, недееспособных или ограниченно дееспособных граждан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правоохранительных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12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 xml:space="preserve">Защита имущественных прав лиц, признанных безвестно отсутствующими, определение управляющего имуществом таких лиц и заключение с ним договора о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доверительном управлении имуществом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безвестно отсутствующих лиц, имеющих имущество.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правоохранительных органов.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65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заключенных договоров доверительного управления имуществом</w:t>
            </w:r>
          </w:p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аименование контрагента с указанием реквизитов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либо наличие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об объявившихся лиц, признанных судом безвестно пропавших, о нарушениях имущественных прав</w:t>
            </w:r>
            <w:proofErr w:type="gramStart"/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FB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установленном порядке согласия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на 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лиц, желающих перейти из одного образовательного учреждения в другое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08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согласий</w:t>
            </w:r>
          </w:p>
        </w:tc>
        <w:tc>
          <w:tcPr>
            <w:tcW w:w="339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52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Назначение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детей, нуждающихся в защите прав и интересов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 xml:space="preserve">оотношение количества </w:t>
            </w:r>
            <w:proofErr w:type="gramStart"/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/назначенных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назначенных постановлением администрации города представителей для защиты прав и интересов</w:t>
            </w:r>
          </w:p>
        </w:tc>
        <w:tc>
          <w:tcPr>
            <w:tcW w:w="3397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41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Дача согласия на установление отцовства в случаях, предусмотренных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рассмотренных заявлений</w:t>
            </w:r>
          </w:p>
        </w:tc>
        <w:tc>
          <w:tcPr>
            <w:tcW w:w="339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51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согласий</w:t>
            </w:r>
          </w:p>
        </w:tc>
        <w:tc>
          <w:tcPr>
            <w:tcW w:w="339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1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Представление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подготовленных в городской суд заключений.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решений суда об усыновлении (удочерении) и его отмене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22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Разрешение вопросов, связанных с изменением фамилии и имени несовершеннолетних в случаях, предусмотренных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заявлений граждан</w:t>
            </w:r>
          </w:p>
        </w:tc>
        <w:tc>
          <w:tcPr>
            <w:tcW w:w="3397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6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заключений</w:t>
            </w:r>
          </w:p>
        </w:tc>
        <w:tc>
          <w:tcPr>
            <w:tcW w:w="33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спорных вопросов между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родителями ребенка (иными законными представителями) и родственниками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обращений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84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F640ED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еобходимо 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количество соглашений</w:t>
            </w:r>
          </w:p>
        </w:tc>
        <w:tc>
          <w:tcPr>
            <w:tcW w:w="339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6979" w:rsidRPr="00F640ED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75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Дача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979" w:rsidRPr="00A311E4" w:rsidRDefault="007C6979" w:rsidP="00FB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заключений, направленных в городской суд</w:t>
            </w:r>
          </w:p>
        </w:tc>
        <w:tc>
          <w:tcPr>
            <w:tcW w:w="3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Участие в исполнении судебных решений об отобрании и передаче детей другим лицам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оличество судебных решений</w:t>
            </w:r>
          </w:p>
        </w:tc>
        <w:tc>
          <w:tcPr>
            <w:tcW w:w="339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 w:cs="Times New Roman"/>
                <w:sz w:val="20"/>
                <w:szCs w:val="20"/>
              </w:rPr>
              <w:t>об исполнении решений 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42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отобранных детей</w:t>
            </w:r>
          </w:p>
        </w:tc>
        <w:tc>
          <w:tcPr>
            <w:tcW w:w="33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17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1E4">
              <w:rPr>
                <w:rFonts w:ascii="Times New Roman" w:hAnsi="Times New Roman"/>
                <w:sz w:val="20"/>
                <w:szCs w:val="20"/>
              </w:rPr>
              <w:t>Дача предварительного разрешения на распоряжение средствами материнского (семейного) капитала усыновителям, опекунам, попечителям или приемным родителям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/>
                <w:sz w:val="20"/>
                <w:szCs w:val="20"/>
              </w:rPr>
              <w:t>оличество заявлений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/>
                <w:sz w:val="20"/>
                <w:szCs w:val="20"/>
              </w:rPr>
              <w:t>оличество выданных согласий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86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Дача согласия на зачисление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лиц, обратившихся с заявлением об оказании содействия по зачислению в воинские части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ведения о зачислении в списки воинских частей в качестве воспитанников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21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согласий</w:t>
            </w:r>
          </w:p>
        </w:tc>
        <w:tc>
          <w:tcPr>
            <w:tcW w:w="3397" w:type="dxa"/>
            <w:gridSpan w:val="5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294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об установлении опеки над лицами, признанными судом недееспособными, об опеке, попечительстве и управлении имуществом несовершеннолетних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управлении имуществом, в налоговые органы по месту своего нахождения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сообщений, направленных в налоговые органы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8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предварительного согласия на обмен жилыми помещениями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согласий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83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решений о проведении психиатрического освидетельствования, профилактического осмотра, помещении в пси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хиатрический стационар граждан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лиц, нуждающихся в психиатрическом освидетельствовании</w:t>
            </w:r>
          </w:p>
        </w:tc>
        <w:tc>
          <w:tcPr>
            <w:tcW w:w="339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39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принятых решений о проведении психиатрического освидетельствования, профилактического осмотра, помещении в психиатрический стационар граждан</w:t>
            </w:r>
          </w:p>
        </w:tc>
        <w:tc>
          <w:tcPr>
            <w:tcW w:w="339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8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согласий на заключение трудовых договоров с несовершеннолетними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согласий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25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Объявление несовершеннолетнего полностью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дееспособным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(эмансипированным) в случае согласия обоих родителей, усыновителей или попечителей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заявлений</w:t>
            </w:r>
          </w:p>
        </w:tc>
        <w:tc>
          <w:tcPr>
            <w:tcW w:w="339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68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человек, объявленных полностью дееспособными</w:t>
            </w:r>
          </w:p>
        </w:tc>
        <w:tc>
          <w:tcPr>
            <w:tcW w:w="33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25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заявлений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88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разрешений</w:t>
            </w:r>
          </w:p>
        </w:tc>
        <w:tc>
          <w:tcPr>
            <w:tcW w:w="3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50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формы устройства детей, оставшихся без попечения родителей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детей, оставшихся без попечения родителей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детей, которым определена форма устройства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11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заключений, направленных в городской суд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8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1E4">
              <w:rPr>
                <w:rFonts w:ascii="Times New Roman" w:hAnsi="Times New Roman"/>
                <w:sz w:val="20"/>
                <w:szCs w:val="20"/>
              </w:rPr>
              <w:t>Организация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/>
                <w:sz w:val="20"/>
                <w:szCs w:val="20"/>
              </w:rPr>
              <w:t>оличество выявленных детей</w:t>
            </w:r>
          </w:p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311E4">
              <w:rPr>
                <w:rFonts w:ascii="Times New Roman" w:hAnsi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1E4">
              <w:rPr>
                <w:rFonts w:ascii="Times New Roman" w:hAnsi="Times New Roman"/>
                <w:sz w:val="20"/>
                <w:szCs w:val="20"/>
              </w:rPr>
              <w:t>направленных анкет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A311E4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311E4">
              <w:rPr>
                <w:rFonts w:ascii="Times New Roman" w:hAnsi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73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Дача заключения о возможности временной передачи ребенка, находящегося в организации для детей-сирот, оставшихся без попечения родителей, в семью гражданина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лиц обратившихся с заявлением о временной передаче ребенка в семью 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55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выданных заключений.</w:t>
            </w:r>
          </w:p>
        </w:tc>
        <w:tc>
          <w:tcPr>
            <w:tcW w:w="3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Ведение личных дел несовершеннолетних подопечных, недееспособных граждан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детей, состоящих на учете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личных дел</w:t>
            </w:r>
          </w:p>
        </w:tc>
        <w:tc>
          <w:tcPr>
            <w:tcW w:w="33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недееспособных граждан, состоящих на учете</w:t>
            </w:r>
          </w:p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личных дел</w:t>
            </w:r>
          </w:p>
        </w:tc>
        <w:tc>
          <w:tcPr>
            <w:tcW w:w="33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FB6EE5">
        <w:trPr>
          <w:trHeight w:val="97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детей–сирот и детей, оставшихся без попечения родителей, об осуществлении отдельных полномочий органов опеки и попечительства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заключенных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наименование контрагента 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58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ыполнен или не выполнен договор; в полном объеме или нет; имеются ли решения судов, вступивших в законную силу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учет детей, права и законные интересы которых нарушены, и принятие мер по защите их прав и законных интересов в соответствии с федеральным законодательством и законодательством автономного округа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выявленных детей</w:t>
            </w:r>
          </w:p>
        </w:tc>
        <w:tc>
          <w:tcPr>
            <w:tcW w:w="339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учтенных детей</w:t>
            </w:r>
          </w:p>
        </w:tc>
        <w:tc>
          <w:tcPr>
            <w:tcW w:w="339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78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сообщений в надзорные органы о нарушении прав детей </w:t>
            </w:r>
          </w:p>
        </w:tc>
        <w:tc>
          <w:tcPr>
            <w:tcW w:w="339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8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деятельности по профилактике социального сиротства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рейдов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89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защите прав и охраняемых законом интересов лицам из числа детей – сирот и детей, оставшихся без попечения родителей, в возрасте от 18 до 23 лет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лиц в возрасте от 18 до 23 лет, состоящих на учете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договоров о </w:t>
            </w:r>
            <w:proofErr w:type="spell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постинтернатном</w:t>
            </w:r>
            <w:proofErr w:type="spell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(особо нуждающихся)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61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3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5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учтенных детей</w:t>
            </w:r>
          </w:p>
        </w:tc>
        <w:tc>
          <w:tcPr>
            <w:tcW w:w="3397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5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найма специализированных жилых помещений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списка</w:t>
            </w:r>
          </w:p>
        </w:tc>
        <w:tc>
          <w:tcPr>
            <w:tcW w:w="3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учтенных детей</w:t>
            </w:r>
          </w:p>
        </w:tc>
        <w:tc>
          <w:tcPr>
            <w:tcW w:w="3397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5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реестра жилых помещений, нанимателя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реестра жилых помещений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нанимателей по договорам социального найма либо собственниками которых они являются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обратившихся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определении трудной жизненной ситуации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поступивших заявлений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подготовки документов, необходимых для установления опеки или попечительства либо устройства ребенка (детей) оставшегося (оставшихся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Выдача разрешений (согласий) на осуществление ухода за нетрудоспособным гражданином обучающимся, достигшим возраста 14 лет, в свободное от учебы время в случаях, установленных федеральным законодательством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рассмотренных заявлений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выданных разрешений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9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Оказание помощи опекунам и попечителям несовершеннолетних граждан в реализации и защите прав подопечных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случаев оказание помощи опекунам и попечителям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78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72BC2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2BC2">
              <w:rPr>
                <w:rFonts w:ascii="Times New Roman" w:hAnsi="Times New Roman"/>
                <w:sz w:val="20"/>
                <w:szCs w:val="20"/>
              </w:rPr>
              <w:t>Дача предварительного разрешения на распоряжение средствами (частью средств) Югорского Капитала усыновителям, опекунам, попечителям или приемным родителям в случаях установленных законом автономного округа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72BC2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72BC2">
              <w:rPr>
                <w:rFonts w:ascii="Times New Roman" w:hAnsi="Times New Roman"/>
                <w:sz w:val="20"/>
                <w:szCs w:val="20"/>
              </w:rPr>
              <w:t>оличество заявлений</w:t>
            </w:r>
          </w:p>
          <w:p w:rsidR="007C6979" w:rsidRPr="00F72BC2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6979" w:rsidRPr="00F72BC2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6979" w:rsidRPr="00F72BC2" w:rsidRDefault="007C6979" w:rsidP="007C6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72BC2" w:rsidRDefault="007C6979" w:rsidP="007C6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72BC2">
              <w:rPr>
                <w:rFonts w:ascii="Times New Roman" w:hAnsi="Times New Roman"/>
                <w:sz w:val="20"/>
                <w:szCs w:val="20"/>
              </w:rPr>
              <w:t>оличество выданных согласий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996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Образование и организация деятельности территориальной комиссии по делам несовершеннолетних и защите их прав</w:t>
            </w:r>
          </w:p>
          <w:p w:rsidR="007C6979" w:rsidRPr="00DC529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79" w:rsidRDefault="007C6979" w:rsidP="007C6979">
            <w:pPr>
              <w:pStyle w:val="ConsPlusNormal"/>
              <w:jc w:val="both"/>
            </w:pPr>
            <w:r w:rsidRPr="00DC529A">
              <w:t xml:space="preserve">Закон ХМАО - Югры от 12.10.2005 №74-оз (ред. от </w:t>
            </w:r>
            <w:r w:rsidRPr="00DC529A">
              <w:lastRenderedPageBreak/>
              <w:t xml:space="preserve">27.09.2015) </w:t>
            </w:r>
          </w:p>
          <w:p w:rsidR="007C6979" w:rsidRPr="00DC529A" w:rsidRDefault="007C6979" w:rsidP="007C6979">
            <w:pPr>
              <w:pStyle w:val="ConsPlusNormal"/>
              <w:jc w:val="both"/>
            </w:pPr>
            <w:proofErr w:type="gramStart"/>
            <w:r w:rsidRPr="00DC529A">
              <w:t>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      </w:r>
            <w:proofErr w:type="gramEnd"/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территориальной комиссии по делам несовершеннолетних и защите их прав.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 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1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заседаний;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рассмотренных на заседаниях документов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воевременность проведения заседаний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своевременность рассмотрения материалов на заседаниях комиссии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0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DC529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28.03.1998№ 53-ФЗ </w:t>
            </w:r>
          </w:p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«О воинской обязанности и военной службе»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581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поставленных граждан,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пребывающих в запасе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воинский учет;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осуществляющих первичный воинский учет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9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Default="007C6979" w:rsidP="007C697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Социальная поддержка дете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сирот и детей оставшихся без попечения родителей, лиц из числа детей-сирот и детей, оставшихся без попечения родителей , </w:t>
            </w:r>
            <w:r>
              <w:rPr>
                <w:color w:val="000000"/>
              </w:rPr>
              <w:t>детей из малоимущих семей, обучающихся с ограниченными возможностями здоровья, получающих образование</w:t>
            </w:r>
          </w:p>
          <w:p w:rsidR="007C6979" w:rsidRPr="00165CBF" w:rsidRDefault="007C6979" w:rsidP="007C697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7C6979" w:rsidRPr="00165CBF" w:rsidRDefault="007C6979" w:rsidP="007C6979">
            <w:pPr>
              <w:pStyle w:val="ConsPlusNormal"/>
              <w:jc w:val="both"/>
            </w:pPr>
            <w:proofErr w:type="gramStart"/>
            <w:r w:rsidRPr="00165CBF">
              <w:rPr>
                <w:color w:val="000000" w:themeColor="text1"/>
              </w:rPr>
              <w:t xml:space="preserve">Закон ХМАО-Югры от 30.01.2016 №4-оз «О </w:t>
            </w:r>
            <w:r w:rsidRPr="00165CBF">
              <w:rPr>
                <w:color w:val="000000" w:themeColor="text1"/>
              </w:rPr>
              <w:lastRenderedPageBreak/>
              <w:t>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</w:t>
            </w:r>
            <w:proofErr w:type="gramEnd"/>
          </w:p>
        </w:tc>
        <w:tc>
          <w:tcPr>
            <w:tcW w:w="4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правового акта о реализации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отдельного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95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4934D4" w:rsidRDefault="007C6979" w:rsidP="007C6979">
            <w:pPr>
              <w:pStyle w:val="ConsPlusNormal"/>
              <w:jc w:val="both"/>
            </w:pPr>
            <w:r w:rsidRPr="004934D4">
              <w:t>Выплата компенсации части родительской платы</w:t>
            </w:r>
          </w:p>
          <w:p w:rsidR="007C6979" w:rsidRPr="004934D4" w:rsidRDefault="007C6979" w:rsidP="007C6979">
            <w:pPr>
              <w:pStyle w:val="ConsPlusNormal"/>
              <w:jc w:val="both"/>
            </w:pPr>
          </w:p>
          <w:p w:rsidR="007C6979" w:rsidRPr="004934D4" w:rsidRDefault="007C6979" w:rsidP="007C6979">
            <w:pPr>
              <w:pStyle w:val="ConsPlusNormal"/>
              <w:jc w:val="both"/>
            </w:pPr>
            <w:r w:rsidRPr="004934D4">
              <w:t>Закон ХМАО - Югры от 21.02.2007 №2-оз (ред. от</w:t>
            </w:r>
            <w:r>
              <w:t xml:space="preserve"> 30.01.2017</w:t>
            </w:r>
            <w:r w:rsidRPr="004934D4">
              <w:t xml:space="preserve">) </w:t>
            </w:r>
          </w:p>
          <w:p w:rsidR="007C6979" w:rsidRPr="004934D4" w:rsidRDefault="007C6979" w:rsidP="007C6979">
            <w:pPr>
              <w:pStyle w:val="ConsPlusNormal"/>
              <w:jc w:val="both"/>
            </w:pPr>
            <w:r w:rsidRPr="004934D4">
              <w:t>«О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 (принят Думой Ханты-Мансийского автономного округа - Югры 15.02.2007) (с изм. и доп., вступающими в силу с 01.05.2015)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образование.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правового акта о реализации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отдельного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8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DC529A" w:rsidRDefault="007C6979" w:rsidP="007C6979">
            <w:pPr>
              <w:pStyle w:val="ConsPlusNormal"/>
              <w:jc w:val="both"/>
            </w:pPr>
            <w:r w:rsidRPr="00DC529A">
              <w:t>Организация и обеспечение отдыха и оздоровления детей</w:t>
            </w:r>
            <w:r>
              <w:t xml:space="preserve">, </w:t>
            </w:r>
          </w:p>
          <w:p w:rsidR="007C6979" w:rsidRPr="00DC529A" w:rsidRDefault="007C6979" w:rsidP="007C6979">
            <w:pPr>
              <w:pStyle w:val="ConsPlusNormal"/>
              <w:jc w:val="both"/>
            </w:pPr>
            <w:proofErr w:type="gramStart"/>
            <w:r>
              <w:rPr>
                <w:color w:val="000000"/>
              </w:rPr>
              <w:t>проживающих в муниципальных образованиях автономного округа</w:t>
            </w:r>
            <w:proofErr w:type="gramEnd"/>
          </w:p>
          <w:p w:rsidR="007C6979" w:rsidRDefault="007C6979" w:rsidP="007C6979">
            <w:pPr>
              <w:pStyle w:val="ConsPlusNormal"/>
              <w:jc w:val="both"/>
            </w:pPr>
            <w:r w:rsidRPr="00DC529A">
              <w:t xml:space="preserve">Закон ХМАО - Югры от 08.07.2005 № 62-оз (ред. от 20.02.2014) </w:t>
            </w:r>
          </w:p>
          <w:p w:rsidR="007C6979" w:rsidRPr="00E179FA" w:rsidRDefault="007C6979" w:rsidP="007C6979">
            <w:pPr>
              <w:pStyle w:val="ConsPlusNormal"/>
              <w:jc w:val="both"/>
              <w:rPr>
                <w:b/>
              </w:rPr>
            </w:pPr>
            <w:r w:rsidRPr="00DC529A">
              <w:t xml:space="preserve">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обеспечение отдыха и оздоровления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проживающих в муниципальных образованиях автономного округа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правового акта о реализации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отдельного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61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Составление, изменение и дополнение списков кандидатов в присяжные заседатели федеральных судов общей юрисдикции</w:t>
            </w:r>
          </w:p>
          <w:p w:rsidR="007C6979" w:rsidRPr="00DC529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979" w:rsidRPr="00DC529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ХМАО-Югры от 23.12.2010 №371-п «О мерах по реализации Федерального закона от 20.08.2004 №113-ФЗ «О присяжных заседателях федеральных судов общей юрисдикции в Российской Федерации»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Составление списка через систему ГАС «Выборы»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</w:t>
            </w:r>
          </w:p>
        </w:tc>
        <w:tc>
          <w:tcPr>
            <w:tcW w:w="33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8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Направление списка для проверки в соответствии с требованиями, предъявляемыми к присяжным заседателям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55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Уведомление граждан, включенных в списки кандидатов в присяжные заседатели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2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Направление уточненного списка кандидатов в присяжные заседатели в высший орган государственной власти Ханты-Мансийского автономного округа-Югры.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8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Опубликование списков кандидатов в присяжные заседатели (Ф.И.О.) в средствах массовой информации.</w:t>
            </w:r>
          </w:p>
        </w:tc>
        <w:tc>
          <w:tcPr>
            <w:tcW w:w="3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9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DC529A" w:rsidRDefault="007C6979" w:rsidP="007C697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C529A">
              <w:t>Организация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</w:t>
            </w:r>
          </w:p>
          <w:p w:rsidR="007C6979" w:rsidRPr="00DC529A" w:rsidRDefault="007C6979" w:rsidP="007C6979">
            <w:pPr>
              <w:pStyle w:val="ConsPlusNormal"/>
              <w:rPr>
                <w:rFonts w:ascii="Courier New" w:hAnsi="Courier New" w:cs="Courier New"/>
              </w:rPr>
            </w:pPr>
          </w:p>
          <w:p w:rsidR="007C6979" w:rsidRDefault="007C6979" w:rsidP="007C6979">
            <w:pPr>
              <w:pStyle w:val="ConsPlusNormal"/>
              <w:jc w:val="both"/>
            </w:pPr>
            <w:r w:rsidRPr="00DC529A">
              <w:lastRenderedPageBreak/>
              <w:t xml:space="preserve">Закон ХМАО - Югры от 27.05.2011 № 57-оз (ред. от 27.06.2014) </w:t>
            </w:r>
          </w:p>
          <w:p w:rsidR="007C6979" w:rsidRPr="00DC529A" w:rsidRDefault="007C6979" w:rsidP="007C6979">
            <w:pPr>
              <w:pStyle w:val="ConsPlusNormal"/>
              <w:jc w:val="both"/>
            </w:pPr>
            <w:r w:rsidRPr="00DC529A">
              <w:t xml:space="preserve"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 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09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действующих организаций по данным налоговых органов (</w:t>
            </w:r>
            <w:proofErr w:type="spellStart"/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(отсутствие нарушений требований охраны труда)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3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работников, работающих в организациях муниципального образования по данным статистики (чел.), всего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израсходованных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охране труда в расчете на 1 работника 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40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работников, прошедших медицинские осмотры, всего (чел.), из них: женщины; лица до 21 года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выявленных случаев профессионального заболевания, всего (чел.): из них женщины; лица до 21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5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руководства служб охраны труда в организациях, расположенных на территории муниципального образования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подготовленных методических пособий по ОТ, аналитических материалов, в том числе в части производственного травматизма (единиц)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99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аспространение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количества методической, справочной литературы, нормативных правовых актов (шт.)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3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979" w:rsidRPr="00DC529A" w:rsidRDefault="007C6979" w:rsidP="007C6979">
            <w:pPr>
              <w:pStyle w:val="ConsPlusNormal"/>
              <w:jc w:val="both"/>
            </w:pPr>
            <w:r w:rsidRPr="00DC529A"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:rsidR="007C6979" w:rsidRPr="00DC529A" w:rsidRDefault="007C6979" w:rsidP="007C6979">
            <w:pPr>
              <w:pStyle w:val="ConsPlusNormal"/>
              <w:jc w:val="both"/>
            </w:pPr>
          </w:p>
          <w:p w:rsidR="007C6979" w:rsidRPr="00DC529A" w:rsidRDefault="007C6979" w:rsidP="007C6979">
            <w:pPr>
              <w:pStyle w:val="ConsPlusNormal"/>
              <w:jc w:val="both"/>
            </w:pPr>
          </w:p>
          <w:p w:rsidR="007C6979" w:rsidRPr="00DC529A" w:rsidRDefault="007C6979" w:rsidP="007C6979">
            <w:pPr>
              <w:pStyle w:val="ConsPlusNormal"/>
              <w:jc w:val="both"/>
            </w:pPr>
            <w:r w:rsidRPr="00DC529A">
              <w:t xml:space="preserve">Закон ХМАО - Югры от 05.04.2013 № 29-оз (ред. от 28.03.2014) «О наделении органов местного </w:t>
            </w:r>
            <w:r w:rsidRPr="00DC529A">
              <w:lastRenderedPageBreak/>
              <w:t>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55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заключенных договоров, контрактов, соглашений. Указать название, сумму (план/факт), с кем заключен договор, контракт, соглашение</w:t>
            </w: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заключенных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соглашений к основным договорам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15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ыполнен или не выполнен договор; в полном объеме или нет; имеется ли решение судов, вступивших в законную силу</w:t>
            </w: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79" w:rsidRPr="00BE02BC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населения города по вопросам содержания и отлова безнадзорных животных на территории города.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979" w:rsidRPr="00F83053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обращений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79" w:rsidRPr="00F83053" w:rsidRDefault="007C6979" w:rsidP="007C6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79" w:rsidRPr="00ED270A" w:rsidTr="007C6979">
        <w:trPr>
          <w:gridAfter w:val="2"/>
          <w:wAfter w:w="1177" w:type="dxa"/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979" w:rsidRPr="00ED270A" w:rsidRDefault="007C6979" w:rsidP="007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9F0553">
      <w:footerReference w:type="default" r:id="rId9"/>
      <w:pgSz w:w="16838" w:h="11906" w:orient="landscape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36" w:rsidRDefault="00F86036" w:rsidP="001F75A9">
      <w:pPr>
        <w:spacing w:after="0" w:line="240" w:lineRule="auto"/>
      </w:pPr>
      <w:r>
        <w:separator/>
      </w:r>
    </w:p>
  </w:endnote>
  <w:endnote w:type="continuationSeparator" w:id="0">
    <w:p w:rsidR="00F86036" w:rsidRDefault="00F86036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0782"/>
      <w:docPartObj>
        <w:docPartGallery w:val="Page Numbers (Bottom of Page)"/>
        <w:docPartUnique/>
      </w:docPartObj>
    </w:sdtPr>
    <w:sdtEndPr/>
    <w:sdtContent>
      <w:p w:rsidR="007C6979" w:rsidRDefault="007C69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979" w:rsidRDefault="007C69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36" w:rsidRDefault="00F86036" w:rsidP="001F75A9">
      <w:pPr>
        <w:spacing w:after="0" w:line="240" w:lineRule="auto"/>
      </w:pPr>
      <w:r>
        <w:separator/>
      </w:r>
    </w:p>
  </w:footnote>
  <w:footnote w:type="continuationSeparator" w:id="0">
    <w:p w:rsidR="00F86036" w:rsidRDefault="00F86036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492B"/>
    <w:rsid w:val="00005F3F"/>
    <w:rsid w:val="00006B68"/>
    <w:rsid w:val="00013956"/>
    <w:rsid w:val="000238B3"/>
    <w:rsid w:val="00025D20"/>
    <w:rsid w:val="000261CA"/>
    <w:rsid w:val="00046A31"/>
    <w:rsid w:val="00047BCA"/>
    <w:rsid w:val="000525E6"/>
    <w:rsid w:val="000656B0"/>
    <w:rsid w:val="00080F85"/>
    <w:rsid w:val="00091B4B"/>
    <w:rsid w:val="00095AB0"/>
    <w:rsid w:val="000B184C"/>
    <w:rsid w:val="000D7D05"/>
    <w:rsid w:val="000E0946"/>
    <w:rsid w:val="000E4E6B"/>
    <w:rsid w:val="000F3EE5"/>
    <w:rsid w:val="00101A81"/>
    <w:rsid w:val="00112310"/>
    <w:rsid w:val="001130DD"/>
    <w:rsid w:val="0012189A"/>
    <w:rsid w:val="00121A34"/>
    <w:rsid w:val="00130263"/>
    <w:rsid w:val="00152A9E"/>
    <w:rsid w:val="00165CBF"/>
    <w:rsid w:val="00194510"/>
    <w:rsid w:val="001A0DB2"/>
    <w:rsid w:val="001A56B5"/>
    <w:rsid w:val="001A5D55"/>
    <w:rsid w:val="001E1D61"/>
    <w:rsid w:val="001F7546"/>
    <w:rsid w:val="001F75A9"/>
    <w:rsid w:val="00207716"/>
    <w:rsid w:val="002173FB"/>
    <w:rsid w:val="00223B12"/>
    <w:rsid w:val="002406CE"/>
    <w:rsid w:val="00240C83"/>
    <w:rsid w:val="00260FE1"/>
    <w:rsid w:val="00265B5F"/>
    <w:rsid w:val="00287924"/>
    <w:rsid w:val="002973D4"/>
    <w:rsid w:val="002A56E0"/>
    <w:rsid w:val="002B09D0"/>
    <w:rsid w:val="002D25D8"/>
    <w:rsid w:val="002E0C6D"/>
    <w:rsid w:val="002E440A"/>
    <w:rsid w:val="002E580F"/>
    <w:rsid w:val="002F64FD"/>
    <w:rsid w:val="0030196A"/>
    <w:rsid w:val="003058DE"/>
    <w:rsid w:val="00315AE8"/>
    <w:rsid w:val="003207A7"/>
    <w:rsid w:val="0032259E"/>
    <w:rsid w:val="00336DB1"/>
    <w:rsid w:val="00360372"/>
    <w:rsid w:val="00364F3A"/>
    <w:rsid w:val="003971F5"/>
    <w:rsid w:val="003B3198"/>
    <w:rsid w:val="003B5C3D"/>
    <w:rsid w:val="003C3FED"/>
    <w:rsid w:val="003C5FA3"/>
    <w:rsid w:val="003D005C"/>
    <w:rsid w:val="003D04B4"/>
    <w:rsid w:val="003D7EAA"/>
    <w:rsid w:val="003E11B2"/>
    <w:rsid w:val="003F6F45"/>
    <w:rsid w:val="00411888"/>
    <w:rsid w:val="0045026F"/>
    <w:rsid w:val="00454D6B"/>
    <w:rsid w:val="00460F92"/>
    <w:rsid w:val="00467638"/>
    <w:rsid w:val="0047470D"/>
    <w:rsid w:val="00477CC8"/>
    <w:rsid w:val="00494561"/>
    <w:rsid w:val="004A0A0C"/>
    <w:rsid w:val="004A7E04"/>
    <w:rsid w:val="004B3E3E"/>
    <w:rsid w:val="004E328C"/>
    <w:rsid w:val="00506442"/>
    <w:rsid w:val="00527490"/>
    <w:rsid w:val="00584E7A"/>
    <w:rsid w:val="00586CF4"/>
    <w:rsid w:val="0059436E"/>
    <w:rsid w:val="005B6573"/>
    <w:rsid w:val="006178B9"/>
    <w:rsid w:val="00620504"/>
    <w:rsid w:val="006501C8"/>
    <w:rsid w:val="00664D39"/>
    <w:rsid w:val="00686CCC"/>
    <w:rsid w:val="00687ACF"/>
    <w:rsid w:val="00687C97"/>
    <w:rsid w:val="006953A5"/>
    <w:rsid w:val="00697B38"/>
    <w:rsid w:val="006A15C9"/>
    <w:rsid w:val="006A668C"/>
    <w:rsid w:val="006A6A92"/>
    <w:rsid w:val="006E03BA"/>
    <w:rsid w:val="006F79F4"/>
    <w:rsid w:val="00701F7A"/>
    <w:rsid w:val="007569C3"/>
    <w:rsid w:val="007617C3"/>
    <w:rsid w:val="00772D3F"/>
    <w:rsid w:val="00773165"/>
    <w:rsid w:val="007759E7"/>
    <w:rsid w:val="0078648F"/>
    <w:rsid w:val="007A02C0"/>
    <w:rsid w:val="007B580C"/>
    <w:rsid w:val="007C3A9C"/>
    <w:rsid w:val="007C6979"/>
    <w:rsid w:val="007D048D"/>
    <w:rsid w:val="007F08D3"/>
    <w:rsid w:val="007F34BB"/>
    <w:rsid w:val="00816791"/>
    <w:rsid w:val="0083507B"/>
    <w:rsid w:val="0084102A"/>
    <w:rsid w:val="0085228F"/>
    <w:rsid w:val="008649E1"/>
    <w:rsid w:val="00867CF8"/>
    <w:rsid w:val="008B45C3"/>
    <w:rsid w:val="008B45DA"/>
    <w:rsid w:val="008D6E3F"/>
    <w:rsid w:val="008E5DFA"/>
    <w:rsid w:val="008E729B"/>
    <w:rsid w:val="008F5F50"/>
    <w:rsid w:val="008F640D"/>
    <w:rsid w:val="00914EB0"/>
    <w:rsid w:val="00916F67"/>
    <w:rsid w:val="009429FB"/>
    <w:rsid w:val="00943BF2"/>
    <w:rsid w:val="009469AE"/>
    <w:rsid w:val="00947672"/>
    <w:rsid w:val="0096368C"/>
    <w:rsid w:val="00975750"/>
    <w:rsid w:val="009C1367"/>
    <w:rsid w:val="009D30AC"/>
    <w:rsid w:val="009D671D"/>
    <w:rsid w:val="009E691B"/>
    <w:rsid w:val="009F0553"/>
    <w:rsid w:val="00A073AD"/>
    <w:rsid w:val="00A07C78"/>
    <w:rsid w:val="00A311E4"/>
    <w:rsid w:val="00A460B2"/>
    <w:rsid w:val="00A5357C"/>
    <w:rsid w:val="00A56E87"/>
    <w:rsid w:val="00A574CB"/>
    <w:rsid w:val="00A57CDA"/>
    <w:rsid w:val="00A673F7"/>
    <w:rsid w:val="00A758A4"/>
    <w:rsid w:val="00A77E22"/>
    <w:rsid w:val="00AA2A0B"/>
    <w:rsid w:val="00AA2B7F"/>
    <w:rsid w:val="00AD1806"/>
    <w:rsid w:val="00AD6DE0"/>
    <w:rsid w:val="00B11310"/>
    <w:rsid w:val="00B220BD"/>
    <w:rsid w:val="00B31DBF"/>
    <w:rsid w:val="00B341C4"/>
    <w:rsid w:val="00B653EA"/>
    <w:rsid w:val="00B9211C"/>
    <w:rsid w:val="00B97B1A"/>
    <w:rsid w:val="00BA17A2"/>
    <w:rsid w:val="00BA1802"/>
    <w:rsid w:val="00BB73AF"/>
    <w:rsid w:val="00BD788D"/>
    <w:rsid w:val="00BE02BC"/>
    <w:rsid w:val="00BE2D13"/>
    <w:rsid w:val="00C6056E"/>
    <w:rsid w:val="00C81025"/>
    <w:rsid w:val="00C9411C"/>
    <w:rsid w:val="00C94F94"/>
    <w:rsid w:val="00CA106D"/>
    <w:rsid w:val="00CA35F2"/>
    <w:rsid w:val="00CA667A"/>
    <w:rsid w:val="00CA7DA0"/>
    <w:rsid w:val="00CB6098"/>
    <w:rsid w:val="00CB637C"/>
    <w:rsid w:val="00CB64B4"/>
    <w:rsid w:val="00CC21BB"/>
    <w:rsid w:val="00CE5827"/>
    <w:rsid w:val="00CE6490"/>
    <w:rsid w:val="00CE7C44"/>
    <w:rsid w:val="00CF3F29"/>
    <w:rsid w:val="00CF6AA6"/>
    <w:rsid w:val="00D15931"/>
    <w:rsid w:val="00D4429E"/>
    <w:rsid w:val="00D46942"/>
    <w:rsid w:val="00D6017B"/>
    <w:rsid w:val="00D82C14"/>
    <w:rsid w:val="00D90F9C"/>
    <w:rsid w:val="00DA7338"/>
    <w:rsid w:val="00DD2759"/>
    <w:rsid w:val="00DD7E67"/>
    <w:rsid w:val="00DE5EED"/>
    <w:rsid w:val="00E171DD"/>
    <w:rsid w:val="00E500A5"/>
    <w:rsid w:val="00E57E0D"/>
    <w:rsid w:val="00E60470"/>
    <w:rsid w:val="00E60F0F"/>
    <w:rsid w:val="00E64F84"/>
    <w:rsid w:val="00E80D92"/>
    <w:rsid w:val="00EA64D0"/>
    <w:rsid w:val="00EA6F7F"/>
    <w:rsid w:val="00EB3183"/>
    <w:rsid w:val="00ED270A"/>
    <w:rsid w:val="00ED2A32"/>
    <w:rsid w:val="00EF60A8"/>
    <w:rsid w:val="00F1688E"/>
    <w:rsid w:val="00F219A4"/>
    <w:rsid w:val="00F3239C"/>
    <w:rsid w:val="00F438CC"/>
    <w:rsid w:val="00F635C6"/>
    <w:rsid w:val="00F63FC0"/>
    <w:rsid w:val="00F640ED"/>
    <w:rsid w:val="00F72BC2"/>
    <w:rsid w:val="00F7533D"/>
    <w:rsid w:val="00F77E8F"/>
    <w:rsid w:val="00F81F05"/>
    <w:rsid w:val="00F83053"/>
    <w:rsid w:val="00F85364"/>
    <w:rsid w:val="00F86036"/>
    <w:rsid w:val="00F90579"/>
    <w:rsid w:val="00F946BC"/>
    <w:rsid w:val="00F95AC2"/>
    <w:rsid w:val="00FB33C9"/>
    <w:rsid w:val="00FB6EE5"/>
    <w:rsid w:val="00FC5A86"/>
    <w:rsid w:val="00FD4296"/>
    <w:rsid w:val="00FF4734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  <w:style w:type="paragraph" w:customStyle="1" w:styleId="ConsPlusNormal">
    <w:name w:val="ConsPlusNormal"/>
    <w:rsid w:val="00DD7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DF64-41B7-499E-A6BA-244DFF3B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24</Pages>
  <Words>7724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Шкурихин Вячеслав Александрович</cp:lastModifiedBy>
  <cp:revision>25</cp:revision>
  <cp:lastPrinted>2017-06-28T04:01:00Z</cp:lastPrinted>
  <dcterms:created xsi:type="dcterms:W3CDTF">2014-03-22T10:44:00Z</dcterms:created>
  <dcterms:modified xsi:type="dcterms:W3CDTF">2017-09-04T07:03:00Z</dcterms:modified>
</cp:coreProperties>
</file>