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DE" w:rsidRDefault="001852DE" w:rsidP="00FE6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F6D" w:rsidRDefault="00627F6D" w:rsidP="00FE6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F6D" w:rsidRPr="00670CC9" w:rsidRDefault="00627F6D" w:rsidP="00627F6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670CC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8719F59" wp14:editId="49FAF63E">
            <wp:extent cx="685800" cy="78740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6D" w:rsidRPr="00670CC9" w:rsidRDefault="00627F6D" w:rsidP="00627F6D">
      <w:pPr>
        <w:tabs>
          <w:tab w:val="left" w:pos="3210"/>
        </w:tabs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7F6D" w:rsidRPr="00670CC9" w:rsidRDefault="00627F6D" w:rsidP="00627F6D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670CC9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627F6D" w:rsidRPr="00670CC9" w:rsidRDefault="00627F6D" w:rsidP="00627F6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627F6D" w:rsidRPr="00670CC9" w:rsidRDefault="00627F6D" w:rsidP="00627F6D">
      <w:pPr>
        <w:keepNext/>
        <w:spacing w:before="24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0C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627F6D" w:rsidRPr="00A50647" w:rsidRDefault="00300A36" w:rsidP="00627F6D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 17.10.2014</w:t>
      </w:r>
      <w:r w:rsidR="00627F6D" w:rsidRPr="00A506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27F6D" w:rsidRPr="00A506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27F6D" w:rsidRPr="00A506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№  95</w:t>
      </w:r>
    </w:p>
    <w:p w:rsidR="001852DE" w:rsidRPr="00627F6D" w:rsidRDefault="001852DE" w:rsidP="00627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6F4" w:rsidRPr="00627F6D" w:rsidRDefault="002166F4" w:rsidP="00627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6D">
        <w:rPr>
          <w:rFonts w:ascii="Times New Roman" w:hAnsi="Times New Roman" w:cs="Times New Roman"/>
          <w:b/>
          <w:sz w:val="28"/>
          <w:szCs w:val="28"/>
        </w:rPr>
        <w:t>О</w:t>
      </w:r>
      <w:r w:rsidR="00FE6A75" w:rsidRPr="00627F6D">
        <w:rPr>
          <w:rFonts w:ascii="Times New Roman" w:hAnsi="Times New Roman" w:cs="Times New Roman"/>
          <w:b/>
          <w:sz w:val="28"/>
          <w:szCs w:val="28"/>
        </w:rPr>
        <w:t xml:space="preserve"> ходе реализации</w:t>
      </w:r>
      <w:r w:rsidRPr="0062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75" w:rsidRPr="00627F6D">
        <w:rPr>
          <w:rFonts w:ascii="Times New Roman" w:hAnsi="Times New Roman" w:cs="Times New Roman"/>
          <w:b/>
          <w:sz w:val="28"/>
          <w:szCs w:val="28"/>
        </w:rPr>
        <w:t>Стратегии</w:t>
      </w:r>
    </w:p>
    <w:p w:rsidR="002166F4" w:rsidRPr="00627F6D" w:rsidRDefault="00FE6A75" w:rsidP="00627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6D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="002166F4" w:rsidRPr="0062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F6D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2166F4" w:rsidRPr="00627F6D" w:rsidRDefault="00FE6A75" w:rsidP="00627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6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166F4" w:rsidRPr="00627F6D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</w:p>
    <w:p w:rsidR="002166F4" w:rsidRPr="00627F6D" w:rsidRDefault="002166F4" w:rsidP="00627F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6D">
        <w:rPr>
          <w:rFonts w:ascii="Times New Roman" w:hAnsi="Times New Roman" w:cs="Times New Roman"/>
          <w:b/>
          <w:sz w:val="28"/>
          <w:szCs w:val="28"/>
        </w:rPr>
        <w:t>Покачи на период до 2020 года» за 2013 год</w:t>
      </w:r>
    </w:p>
    <w:p w:rsidR="004C4865" w:rsidRDefault="004C4865" w:rsidP="00FE6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F6D" w:rsidRPr="00627F6D" w:rsidRDefault="00627F6D" w:rsidP="00FE6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865" w:rsidRDefault="004C4865" w:rsidP="00FE6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F6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27F6D">
        <w:rPr>
          <w:rFonts w:ascii="Times New Roman" w:hAnsi="Times New Roman" w:cs="Times New Roman"/>
          <w:sz w:val="28"/>
          <w:szCs w:val="28"/>
        </w:rPr>
        <w:t xml:space="preserve">Изучив информацию о ходе реализации Стратегии социально-экономического развития муниципального образования города Покачи на период до 2020 года в соответствии с пунктом 8.2 Положения о порядке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</w:t>
      </w:r>
      <w:r w:rsidR="00462EF3" w:rsidRPr="00627F6D">
        <w:rPr>
          <w:rFonts w:ascii="Times New Roman" w:hAnsi="Times New Roman" w:cs="Times New Roman"/>
          <w:sz w:val="28"/>
          <w:szCs w:val="28"/>
        </w:rPr>
        <w:t>утвержденного решением Думы города Покачи от 19.1</w:t>
      </w:r>
      <w:r w:rsidR="00627F6D">
        <w:rPr>
          <w:rFonts w:ascii="Times New Roman" w:hAnsi="Times New Roman" w:cs="Times New Roman"/>
          <w:sz w:val="28"/>
          <w:szCs w:val="28"/>
        </w:rPr>
        <w:t xml:space="preserve">0.2009 № 112, </w:t>
      </w:r>
      <w:r w:rsidR="007209D4">
        <w:rPr>
          <w:rFonts w:ascii="Times New Roman" w:hAnsi="Times New Roman" w:cs="Times New Roman"/>
          <w:sz w:val="28"/>
          <w:szCs w:val="28"/>
        </w:rPr>
        <w:t xml:space="preserve"> </w:t>
      </w:r>
      <w:r w:rsidR="00627F6D">
        <w:rPr>
          <w:rFonts w:ascii="Times New Roman" w:hAnsi="Times New Roman" w:cs="Times New Roman"/>
          <w:sz w:val="28"/>
          <w:szCs w:val="28"/>
        </w:rPr>
        <w:t>Дума города</w:t>
      </w:r>
      <w:proofErr w:type="gramEnd"/>
    </w:p>
    <w:p w:rsidR="00627F6D" w:rsidRPr="00627F6D" w:rsidRDefault="00627F6D" w:rsidP="00FE6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F3" w:rsidRPr="00627F6D" w:rsidRDefault="00462EF3" w:rsidP="00462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6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62EF3" w:rsidRPr="00627F6D" w:rsidRDefault="00462EF3" w:rsidP="0046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EF3" w:rsidRPr="00627F6D" w:rsidRDefault="00462EF3" w:rsidP="00462E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6D">
        <w:rPr>
          <w:rFonts w:ascii="Times New Roman" w:hAnsi="Times New Roman" w:cs="Times New Roman"/>
          <w:sz w:val="28"/>
          <w:szCs w:val="28"/>
        </w:rPr>
        <w:t xml:space="preserve">1. Информацию о </w:t>
      </w:r>
      <w:r w:rsidR="00FA3B57" w:rsidRPr="00627F6D">
        <w:rPr>
          <w:rFonts w:ascii="Times New Roman" w:hAnsi="Times New Roman" w:cs="Times New Roman"/>
          <w:sz w:val="28"/>
          <w:szCs w:val="28"/>
        </w:rPr>
        <w:t>мониторинге</w:t>
      </w:r>
      <w:r w:rsidRPr="00627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F6D">
        <w:rPr>
          <w:rFonts w:ascii="Times New Roman" w:hAnsi="Times New Roman" w:cs="Times New Roman"/>
          <w:sz w:val="28"/>
          <w:szCs w:val="28"/>
        </w:rPr>
        <w:t>реализации Стратегии социально-экономического развития муниципального образования города</w:t>
      </w:r>
      <w:proofErr w:type="gramEnd"/>
      <w:r w:rsidRPr="00627F6D">
        <w:rPr>
          <w:rFonts w:ascii="Times New Roman" w:hAnsi="Times New Roman" w:cs="Times New Roman"/>
          <w:sz w:val="28"/>
          <w:szCs w:val="28"/>
        </w:rPr>
        <w:t xml:space="preserve"> Покачи на период до 2020 года </w:t>
      </w:r>
      <w:r w:rsidR="00592804" w:rsidRPr="00627F6D">
        <w:rPr>
          <w:rFonts w:ascii="Times New Roman" w:hAnsi="Times New Roman" w:cs="Times New Roman"/>
          <w:sz w:val="28"/>
          <w:szCs w:val="28"/>
        </w:rPr>
        <w:t xml:space="preserve"> за 2013 год </w:t>
      </w:r>
      <w:r w:rsidR="00505041">
        <w:rPr>
          <w:rFonts w:ascii="Times New Roman" w:hAnsi="Times New Roman" w:cs="Times New Roman"/>
          <w:sz w:val="28"/>
          <w:szCs w:val="28"/>
        </w:rPr>
        <w:t>принять к сведению (приложения</w:t>
      </w:r>
      <w:r w:rsidRPr="00627F6D">
        <w:rPr>
          <w:rFonts w:ascii="Times New Roman" w:hAnsi="Times New Roman" w:cs="Times New Roman"/>
          <w:sz w:val="28"/>
          <w:szCs w:val="28"/>
        </w:rPr>
        <w:t xml:space="preserve"> 1</w:t>
      </w:r>
      <w:r w:rsidR="00505041">
        <w:rPr>
          <w:rFonts w:ascii="Times New Roman" w:hAnsi="Times New Roman" w:cs="Times New Roman"/>
          <w:sz w:val="28"/>
          <w:szCs w:val="28"/>
        </w:rPr>
        <w:t>,</w:t>
      </w:r>
      <w:r w:rsidRPr="00627F6D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462EF3" w:rsidRPr="00627F6D" w:rsidRDefault="00462EF3" w:rsidP="00462E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6D">
        <w:rPr>
          <w:rFonts w:ascii="Times New Roman" w:hAnsi="Times New Roman" w:cs="Times New Roman"/>
          <w:sz w:val="28"/>
          <w:szCs w:val="28"/>
        </w:rPr>
        <w:t>2. Внести изменения в решение Думы города Покачи от 23.06.2014 № 71 «О реализации на территории города Покачи Стратегии социально-экономического развития муниципального образования город Покачи на период до 2020 года»</w:t>
      </w:r>
      <w:r w:rsidR="00C45D36" w:rsidRPr="00627F6D">
        <w:rPr>
          <w:rFonts w:ascii="Times New Roman" w:hAnsi="Times New Roman" w:cs="Times New Roman"/>
          <w:sz w:val="28"/>
          <w:szCs w:val="28"/>
        </w:rPr>
        <w:t xml:space="preserve"> заменив в части 3 решения цифры «01.10.2014» на цифры «14.11.</w:t>
      </w:r>
      <w:r w:rsidR="00592804" w:rsidRPr="00627F6D">
        <w:rPr>
          <w:rFonts w:ascii="Times New Roman" w:hAnsi="Times New Roman" w:cs="Times New Roman"/>
          <w:sz w:val="28"/>
          <w:szCs w:val="28"/>
        </w:rPr>
        <w:t>2014</w:t>
      </w:r>
      <w:r w:rsidR="00C45D36" w:rsidRPr="00627F6D">
        <w:rPr>
          <w:rFonts w:ascii="Times New Roman" w:hAnsi="Times New Roman" w:cs="Times New Roman"/>
          <w:sz w:val="28"/>
          <w:szCs w:val="28"/>
        </w:rPr>
        <w:t>».</w:t>
      </w:r>
    </w:p>
    <w:p w:rsidR="00C45D36" w:rsidRPr="00627F6D" w:rsidRDefault="00C45D36" w:rsidP="00462E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F6D">
        <w:rPr>
          <w:rFonts w:ascii="Times New Roman" w:hAnsi="Times New Roman" w:cs="Times New Roman"/>
          <w:sz w:val="28"/>
          <w:szCs w:val="28"/>
        </w:rPr>
        <w:t>3. Контроль за исполнением решения возложить на постоянную комиссию Думы города Покачи по соблюдению законности и местному самоуправлению (</w:t>
      </w:r>
      <w:r w:rsidR="005050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27F6D">
        <w:rPr>
          <w:rFonts w:ascii="Times New Roman" w:hAnsi="Times New Roman" w:cs="Times New Roman"/>
          <w:sz w:val="28"/>
          <w:szCs w:val="28"/>
        </w:rPr>
        <w:t>Медведев Ю. И.).</w:t>
      </w:r>
    </w:p>
    <w:p w:rsidR="00C45D36" w:rsidRPr="00627F6D" w:rsidRDefault="00C45D36" w:rsidP="00462E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D36" w:rsidRPr="00627F6D" w:rsidRDefault="00C45D36" w:rsidP="00462E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F6D" w:rsidRDefault="00C45D36" w:rsidP="00627F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6D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</w:p>
    <w:p w:rsidR="00C45D36" w:rsidRPr="00627F6D" w:rsidRDefault="00C45D36" w:rsidP="00627F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6D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        </w:t>
      </w:r>
      <w:r w:rsidR="00627F6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627F6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2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F6D">
        <w:rPr>
          <w:rFonts w:ascii="Times New Roman" w:hAnsi="Times New Roman" w:cs="Times New Roman"/>
          <w:b/>
          <w:sz w:val="28"/>
          <w:szCs w:val="28"/>
        </w:rPr>
        <w:t xml:space="preserve">  Н. В. Борисова</w:t>
      </w:r>
    </w:p>
    <w:p w:rsidR="001A32C5" w:rsidRPr="00627F6D" w:rsidRDefault="001A32C5" w:rsidP="00627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2C5" w:rsidRDefault="001A32C5" w:rsidP="00462E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B57" w:rsidRPr="00FA3B57" w:rsidRDefault="00627F6D" w:rsidP="00C65894">
      <w:pPr>
        <w:pStyle w:val="a4"/>
        <w:spacing w:line="320" w:lineRule="exact"/>
        <w:ind w:firstLine="397"/>
        <w:jc w:val="righ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                                                                             </w:t>
      </w:r>
      <w:r w:rsidR="00FA3B57" w:rsidRPr="00FA3B5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Приложение 1</w:t>
      </w:r>
    </w:p>
    <w:p w:rsidR="00FA3B57" w:rsidRPr="00FA3B57" w:rsidRDefault="00FA3B57" w:rsidP="00C65894">
      <w:pPr>
        <w:pStyle w:val="a4"/>
        <w:spacing w:line="320" w:lineRule="exact"/>
        <w:ind w:firstLine="397"/>
        <w:jc w:val="righ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FA3B5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 решению Думы города Покачи</w:t>
      </w:r>
    </w:p>
    <w:p w:rsidR="00FA3B57" w:rsidRPr="00FA3B57" w:rsidRDefault="0081314A" w:rsidP="00C65894">
      <w:pPr>
        <w:pStyle w:val="a4"/>
        <w:spacing w:line="320" w:lineRule="exact"/>
        <w:ind w:firstLine="397"/>
        <w:jc w:val="right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от  17.10.2014  №  95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right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p w:rsidR="00FA3B57" w:rsidRPr="00627F6D" w:rsidRDefault="00FA3B57" w:rsidP="00627F6D">
      <w:pPr>
        <w:pStyle w:val="a4"/>
        <w:spacing w:line="320" w:lineRule="exact"/>
        <w:ind w:firstLine="397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 xml:space="preserve">Мониторинг реализации Стратегии </w:t>
      </w:r>
      <w:r w:rsidRPr="00627F6D">
        <w:rPr>
          <w:rFonts w:ascii="Times New Roman" w:hAnsi="Times New Roman" w:cs="Times New Roman"/>
          <w:b/>
          <w:sz w:val="28"/>
          <w:szCs w:val="28"/>
        </w:rPr>
        <w:t xml:space="preserve">социально - экономического развития муниципального образования город Покачи на период до 2020 года </w:t>
      </w:r>
      <w:r w:rsidR="00627F6D">
        <w:rPr>
          <w:rFonts w:ascii="Times New Roman" w:hAnsi="Times New Roman" w:cs="Times New Roman"/>
          <w:b/>
          <w:sz w:val="28"/>
          <w:szCs w:val="28"/>
        </w:rPr>
        <w:t xml:space="preserve"> за 2013 год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На основании </w:t>
      </w:r>
      <w:r w:rsidRPr="00627F6D">
        <w:rPr>
          <w:rFonts w:ascii="Times New Roman" w:hAnsi="Times New Roman" w:cs="Times New Roman"/>
          <w:sz w:val="28"/>
          <w:szCs w:val="28"/>
        </w:rPr>
        <w:t xml:space="preserve">Положения о мониторинге реализации Стратегии социально – экономического развития муниципального образования город Покачи на период до 2020 года от 12.10.2014 </w:t>
      </w:r>
      <w:bookmarkStart w:id="0" w:name="_GoBack"/>
      <w:bookmarkEnd w:id="0"/>
      <w:r w:rsidRPr="00627F6D">
        <w:rPr>
          <w:rFonts w:ascii="Times New Roman" w:hAnsi="Times New Roman" w:cs="Times New Roman"/>
          <w:sz w:val="28"/>
          <w:szCs w:val="28"/>
        </w:rPr>
        <w:t>№1022 администрацией города проведен мониторинг степени реализации Стратегии за 2013 год.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 целях реализации Стратегии администрацией города Покачи были разработаны и утверждены муниципальные нормативные правовые акты: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- от 25.07.2013 №918 «Об утверждении Положения о координационном совете по реализации Стратегии социально - экономического развития муниципального образования город Покачи на период до 2020 года»;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- от 29.01.2013 №97  «Об утверждении Положения о рабочей группе по реализации  Стратегии социально - экономического развития муниципального образования город Покачи на период до 2020 года»;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- от 05.03.2012 №32-р  «Об утверждении состава рабочей группы по реализации  Стратегии социально - экономического развития муниципального образования город Покачи на период до 2020 года» с изменениями от 28.10.2013 № 160-р;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- от 26.07.2013 №108-р «Об утверждении состава координационного совета по реализации Стратегии социально - экономического развития муниципального образования город Покачи на период до 2020 года»;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- решение Думы города Покачи от 21.06.2013 №74 «О  внесении изменений в Стратегию социально - экономического развития муниципального образования город Покачи на период до 2020 года, утвержденную решением Думы города Покачи от 25.04.2011№ 21» 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С начала 2013 года была проведена работа по приведению в соответствие целевых показателей муниципальных и ведомственных программ показателям Стратегии социально - экономического развития муниципального образования города Покачи на период до 2020 года.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Также был скорректирован  и приведен  в соответствие перечень индикативных показателей в таблице  33  «Показатели оценки эффективности реализации Стратегии до 2020 года» и таблице 9 «Основные показатели эффективности развития социальной инфраструктуры».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Таким образом, мониторинг проводился по степени достижения 64 показателей, установленных в Стратегии социально - экономического </w:t>
      </w:r>
      <w:r w:rsidRPr="00627F6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lastRenderedPageBreak/>
        <w:t>развития муниципального образования город  Покачи на период до 2020 года.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627F6D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По основным разделам ситуация сложилась следующим образом:</w:t>
      </w:r>
    </w:p>
    <w:p w:rsidR="00FA3B57" w:rsidRPr="00627F6D" w:rsidRDefault="00FA3B57" w:rsidP="00FA3B57">
      <w:pPr>
        <w:pStyle w:val="2"/>
        <w:spacing w:line="320" w:lineRule="exact"/>
        <w:ind w:firstLine="397"/>
        <w:rPr>
          <w:bCs w:val="0"/>
          <w:sz w:val="28"/>
          <w:szCs w:val="28"/>
        </w:rPr>
      </w:pPr>
      <w:r w:rsidRPr="00627F6D">
        <w:rPr>
          <w:bCs w:val="0"/>
          <w:sz w:val="28"/>
          <w:szCs w:val="28"/>
        </w:rPr>
        <w:t>Раздел 1: Демографические показатели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Среднегодовая численность постоянного населения за 2013 год, по статистическим данным, составила 17 372 человек, что выше аналогичного периода прошлого года на 0,8% (за 2012 – 17 230).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За 2013 год в городе родилось 305 человек, что выше уровня прошлого года на 15 человек. Число </w:t>
      </w:r>
      <w:proofErr w:type="gramStart"/>
      <w:r w:rsidRPr="00627F6D">
        <w:rPr>
          <w:rFonts w:ascii="Times New Roman" w:eastAsia="Times New Roman" w:hAnsi="Times New Roman" w:cs="Times New Roman"/>
          <w:sz w:val="28"/>
          <w:szCs w:val="28"/>
        </w:rPr>
        <w:t>родившихся</w:t>
      </w:r>
      <w:proofErr w:type="gramEnd"/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 превысило число умерших в 4,2 раза в 2013 году. Количество умерших, по сравнению с аналогичным периодом прошлого года, увеличилось на 19 человек и составило 73 человека. Повышение произошло в связи с увеличением количества умерших по новообразованиям на 14 случаев, травмам, отравлениям и некоторым другим последствиям воздействия  внешних причин на 5 случаев.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27F6D">
        <w:rPr>
          <w:rFonts w:ascii="Times New Roman" w:hAnsi="Times New Roman" w:cs="Times New Roman"/>
          <w:sz w:val="28"/>
          <w:szCs w:val="28"/>
        </w:rPr>
        <w:t xml:space="preserve">За 2013 год  число прибывших в город составило 1 146 человек, число выбывших – 1 179 человек. За тот же период 2012 года в город прибыло 1 094 человек, а убыло 1 243 человек.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27F6D">
        <w:rPr>
          <w:rFonts w:ascii="Times New Roman" w:hAnsi="Times New Roman" w:cs="Times New Roman"/>
          <w:sz w:val="28"/>
          <w:szCs w:val="28"/>
        </w:rPr>
        <w:t>Миграционная убыль за  2013 год составила 33 человека, за тот же период 2012 года миграционная убыль - 149 человек.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7F6D">
        <w:rPr>
          <w:rFonts w:ascii="Times New Roman" w:hAnsi="Times New Roman" w:cs="Times New Roman"/>
          <w:sz w:val="28"/>
          <w:szCs w:val="28"/>
        </w:rPr>
        <w:t xml:space="preserve">В целом, демографическая ситуация, сложившаяся в муниципальном образовании город Покачи, носит положительный характер: сформировалась тенденция сохранения уровня рождаемости, что должно обеспечивать привлекательность города для проживания.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B57" w:rsidRPr="00627F6D" w:rsidRDefault="00FA3B57" w:rsidP="00FA3B57">
      <w:pPr>
        <w:pStyle w:val="2"/>
        <w:spacing w:line="320" w:lineRule="exact"/>
        <w:ind w:firstLine="397"/>
        <w:rPr>
          <w:bCs w:val="0"/>
          <w:sz w:val="28"/>
          <w:szCs w:val="28"/>
        </w:rPr>
      </w:pPr>
      <w:r w:rsidRPr="00627F6D">
        <w:rPr>
          <w:bCs w:val="0"/>
          <w:sz w:val="28"/>
          <w:szCs w:val="28"/>
        </w:rPr>
        <w:t>Раздел  2: Производство товаров и услуг.</w:t>
      </w:r>
    </w:p>
    <w:p w:rsidR="00FA3B57" w:rsidRPr="00627F6D" w:rsidRDefault="00FA3B57" w:rsidP="00FA3B57">
      <w:pPr>
        <w:pStyle w:val="2"/>
        <w:spacing w:line="320" w:lineRule="exact"/>
        <w:ind w:firstLine="397"/>
        <w:rPr>
          <w:bCs w:val="0"/>
          <w:sz w:val="28"/>
          <w:szCs w:val="28"/>
        </w:rPr>
      </w:pPr>
      <w:r w:rsidRPr="00627F6D">
        <w:rPr>
          <w:bCs w:val="0"/>
          <w:sz w:val="28"/>
          <w:szCs w:val="28"/>
        </w:rPr>
        <w:t>Подраздел  2.1: Строительство.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>В 2013 году по показателю «Доля площади земельных участков, являющихся объектами налогообложения земельным налогом, в общей площади территории» хочется отметить, что земельный налог оплачивается с земельных участков, находящихся в собственности граждан и юридических лиц. Предоставление в собственность земельных участков осуществляется на основании обращений заинтересованных лиц.  Запланировать предоставление в собственность земельных участков не представляется возможным.</w:t>
      </w:r>
    </w:p>
    <w:p w:rsidR="00FA3B57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>По показателю «Площадь земельных участков, предоставленных для строительства» увеличение произошло почти в 2 раза за счет незапланированного проведения торгов по предоставлению земельных участков под жилищное строительство по ул. Комсомольская и Югорская.</w:t>
      </w:r>
    </w:p>
    <w:p w:rsidR="00627F6D" w:rsidRPr="00627F6D" w:rsidRDefault="00627F6D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B57" w:rsidRPr="00627F6D" w:rsidRDefault="00FA3B57" w:rsidP="00FA3B57">
      <w:pPr>
        <w:pStyle w:val="2"/>
        <w:spacing w:line="320" w:lineRule="exact"/>
        <w:ind w:firstLine="397"/>
        <w:rPr>
          <w:bCs w:val="0"/>
          <w:sz w:val="28"/>
          <w:szCs w:val="28"/>
        </w:rPr>
      </w:pPr>
      <w:r w:rsidRPr="00627F6D">
        <w:rPr>
          <w:bCs w:val="0"/>
          <w:sz w:val="28"/>
          <w:szCs w:val="28"/>
        </w:rPr>
        <w:t>Подраздел 2.2: Транспорт.</w:t>
      </w:r>
    </w:p>
    <w:p w:rsidR="00FA3B57" w:rsidRPr="00627F6D" w:rsidRDefault="00FA3B57" w:rsidP="00FA3B57">
      <w:pPr>
        <w:spacing w:after="0" w:line="320" w:lineRule="exac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27F6D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с твердым покрытием составляет 90,2%, данный показатель выполнен в полном объеме.</w:t>
      </w:r>
    </w:p>
    <w:p w:rsidR="00FA3B57" w:rsidRPr="00627F6D" w:rsidRDefault="00FA3B57" w:rsidP="00FA3B57">
      <w:pPr>
        <w:spacing w:after="0"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B57" w:rsidRPr="00627F6D" w:rsidRDefault="00FA3B57" w:rsidP="00FA3B57">
      <w:pPr>
        <w:spacing w:after="0" w:line="320" w:lineRule="exact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627F6D">
        <w:rPr>
          <w:rFonts w:ascii="Times New Roman" w:eastAsia="Times New Roman" w:hAnsi="Times New Roman" w:cs="Times New Roman"/>
          <w:b/>
          <w:sz w:val="28"/>
          <w:szCs w:val="28"/>
        </w:rPr>
        <w:t>3:</w:t>
      </w:r>
      <w:r w:rsidRPr="00627F6D">
        <w:rPr>
          <w:rFonts w:ascii="Times New Roman" w:hAnsi="Times New Roman" w:cs="Times New Roman"/>
          <w:sz w:val="28"/>
          <w:szCs w:val="28"/>
        </w:rPr>
        <w:t xml:space="preserve">  </w:t>
      </w:r>
      <w:r w:rsidRPr="00627F6D">
        <w:rPr>
          <w:rFonts w:ascii="Times New Roman" w:eastAsia="Times New Roman" w:hAnsi="Times New Roman" w:cs="Times New Roman"/>
          <w:b/>
          <w:sz w:val="28"/>
          <w:szCs w:val="28"/>
        </w:rPr>
        <w:t>Малое и среднее предпринимательство.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F6D">
        <w:rPr>
          <w:rFonts w:ascii="Times New Roman" w:hAnsi="Times New Roman" w:cs="Times New Roman"/>
          <w:sz w:val="28"/>
          <w:szCs w:val="28"/>
        </w:rPr>
        <w:t xml:space="preserve">Согласно данным, представленным Территориальным органом Федеральной службы государственной статистики по ХМАО </w:t>
      </w:r>
      <w:r w:rsidRPr="00627F6D">
        <w:rPr>
          <w:rFonts w:ascii="Times New Roman" w:hAnsi="Times New Roman" w:cs="Times New Roman"/>
          <w:b/>
          <w:sz w:val="28"/>
          <w:szCs w:val="28"/>
        </w:rPr>
        <w:t xml:space="preserve">в 2013 году количество субъектов </w:t>
      </w:r>
      <w:proofErr w:type="spellStart"/>
      <w:r w:rsidRPr="00627F6D">
        <w:rPr>
          <w:rFonts w:ascii="Times New Roman" w:hAnsi="Times New Roman" w:cs="Times New Roman"/>
          <w:b/>
          <w:sz w:val="28"/>
          <w:szCs w:val="28"/>
        </w:rPr>
        <w:t>МиСП</w:t>
      </w:r>
      <w:proofErr w:type="spellEnd"/>
      <w:r w:rsidRPr="00627F6D">
        <w:rPr>
          <w:rFonts w:ascii="Times New Roman" w:hAnsi="Times New Roman" w:cs="Times New Roman"/>
          <w:b/>
          <w:sz w:val="28"/>
          <w:szCs w:val="28"/>
        </w:rPr>
        <w:t xml:space="preserve"> - 555 ед. По сравнению с 2012 годом идет снижение  на 121 ед.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F6D">
        <w:rPr>
          <w:rFonts w:ascii="Times New Roman" w:hAnsi="Times New Roman" w:cs="Times New Roman"/>
          <w:sz w:val="28"/>
          <w:szCs w:val="28"/>
        </w:rPr>
        <w:t>На начало 2013 года количество зарегистрированных субъектов малого предпринимательства составляет 642 ед., в том числе, количество индивидуальных предпринимателей – 555 (ед.), количество юридических лиц – 87 ед.).</w:t>
      </w:r>
      <w:proofErr w:type="gramEnd"/>
      <w:r w:rsidRPr="00627F6D">
        <w:rPr>
          <w:rFonts w:ascii="Times New Roman" w:hAnsi="Times New Roman" w:cs="Times New Roman"/>
          <w:sz w:val="28"/>
          <w:szCs w:val="28"/>
        </w:rPr>
        <w:t xml:space="preserve"> По состоянию на 01.01.2014 количество субъектов снизилось до 555 ед., в том числе, индивидуальных предпринимателей – 492 ед., юридических лиц – 63 ед. Количество субъектов малого предпринимательства уменьшилось по сравнению с 2012 годом на 16%, основными причинами снижения являются закрытие предпринимательской деятельности на основании собственного решения.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27F6D">
        <w:rPr>
          <w:rFonts w:ascii="Times New Roman" w:hAnsi="Times New Roman" w:cs="Times New Roman"/>
          <w:sz w:val="28"/>
          <w:szCs w:val="28"/>
        </w:rPr>
        <w:t>По показателю «Число субъектов малого и среднего предпринимательства в расчете на 10 тыс. человек населения» за 2013 год среди 22 территорий автономного округа, наш город занимает 5 место.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A3B57" w:rsidRPr="00627F6D" w:rsidRDefault="00FA3B57" w:rsidP="00FA3B57">
      <w:pPr>
        <w:spacing w:after="0" w:line="320" w:lineRule="exact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627F6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627F6D">
        <w:rPr>
          <w:rFonts w:ascii="Times New Roman" w:hAnsi="Times New Roman" w:cs="Times New Roman"/>
          <w:sz w:val="28"/>
          <w:szCs w:val="28"/>
        </w:rPr>
        <w:t xml:space="preserve">  </w:t>
      </w:r>
      <w:r w:rsidRPr="00627F6D">
        <w:rPr>
          <w:rFonts w:ascii="Times New Roman" w:eastAsia="Times New Roman" w:hAnsi="Times New Roman" w:cs="Times New Roman"/>
          <w:b/>
          <w:sz w:val="28"/>
          <w:szCs w:val="28"/>
        </w:rPr>
        <w:t xml:space="preserve">Инвестиции.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Инвестиции в основной капитал за 2013 год составили 383,36 млн. рублей, или 72,3% к уровню аналогичного периода 2012 года (530,45 млн. руб.) в сопоставимых ценах. </w:t>
      </w:r>
    </w:p>
    <w:p w:rsidR="00FA3B57" w:rsidRPr="00627F6D" w:rsidRDefault="00FA3B57" w:rsidP="00FA3B57">
      <w:pPr>
        <w:pStyle w:val="a4"/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 Объем инвестиций в основной капитал (за исключением бюджетных средств) в расчете на одного жителя. Объем вложенных инвестиций на душу населения в городе уменьшился и составил 13 103,0 руб. (2012 – 16 078 руб.; 2011 – 9 404,0 руб.).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В 2013 году введены в эксплуатацию 11 объектов капитального строительства, из них: </w:t>
      </w:r>
      <w:proofErr w:type="gramEnd"/>
    </w:p>
    <w:p w:rsidR="00FA3B57" w:rsidRPr="00627F6D" w:rsidRDefault="00FA3B57" w:rsidP="00FA3B57">
      <w:pPr>
        <w:pStyle w:val="a4"/>
        <w:numPr>
          <w:ilvl w:val="0"/>
          <w:numId w:val="2"/>
        </w:numPr>
        <w:tabs>
          <w:tab w:val="left" w:pos="993"/>
        </w:tabs>
        <w:spacing w:line="320" w:lineRule="exact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>6 индивидуальных жилых домов (общая площадь жилых помещений 0,7 тыс. кв.м.);</w:t>
      </w:r>
    </w:p>
    <w:p w:rsidR="00FA3B57" w:rsidRPr="00627F6D" w:rsidRDefault="00FA3B57" w:rsidP="00FA3B57">
      <w:pPr>
        <w:pStyle w:val="a4"/>
        <w:numPr>
          <w:ilvl w:val="0"/>
          <w:numId w:val="2"/>
        </w:numPr>
        <w:tabs>
          <w:tab w:val="left" w:pos="993"/>
        </w:tabs>
        <w:spacing w:line="320" w:lineRule="exact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>2 многоквартирных жилых дома (общая площадь жилых помещений 5,2 тыс. кв.м);</w:t>
      </w:r>
    </w:p>
    <w:p w:rsidR="00FA3B57" w:rsidRPr="00627F6D" w:rsidRDefault="00FA3B57" w:rsidP="00FA3B57">
      <w:pPr>
        <w:pStyle w:val="a4"/>
        <w:numPr>
          <w:ilvl w:val="0"/>
          <w:numId w:val="2"/>
        </w:numPr>
        <w:tabs>
          <w:tab w:val="left" w:pos="993"/>
        </w:tabs>
        <w:spacing w:line="320" w:lineRule="exact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стратегически важный объект «ПС 35/10 «Городская».     </w:t>
      </w:r>
    </w:p>
    <w:p w:rsidR="00FA3B57" w:rsidRPr="00627F6D" w:rsidRDefault="00FA3B57" w:rsidP="00FA3B57">
      <w:pPr>
        <w:pStyle w:val="a4"/>
        <w:spacing w:line="32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Среднемесячная заработная плата отдельных категорий работников.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от 7 мая 2012 года № 597 «О мероприятиях по реализации государственной социальной политики» в 2013 году приняты и реализовывалис</w:t>
      </w:r>
      <w:r w:rsidR="00627F6D" w:rsidRPr="00627F6D">
        <w:rPr>
          <w:rFonts w:ascii="Times New Roman" w:eastAsia="Times New Roman" w:hAnsi="Times New Roman" w:cs="Times New Roman"/>
          <w:sz w:val="28"/>
          <w:szCs w:val="28"/>
        </w:rPr>
        <w:t>ь меры по поэтапному достижению</w:t>
      </w: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 целевых ориентиров повышения заработной платы отдельным категориям работников сферы образования, здравоохранения, культуры и социального обслуживания: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утвержден постановлением администрации города Покачи от 17.06.2013 №729 (с изменениями от 30.12.2013) график примерных (индикативных) значений соотношения средней заработной платы отдельных категорий работников муниципальных учреждений к средней заработной плате по Ханты-Мансийскому автономному округу – Югре на период 2012-2018 годы;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- на муниципальном уровне приняты «дорожные карты» в сферах образования и культуры, предусматривающие план мероприятий, сроки исполнения, ответственных по повышению средней заработной платы работников, структурные преобразования, направленные на повышение эффективности и качества услуг,  предоставляемых населению;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- проведена индексация фонда оплаты труда работников муниципальных учреждений (кроме органов местного самоуправления и казенных учреждений) с  1 января 2013 года – на  5,5 %.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Объем дополнительных средств в 2013 году на повышение фонда оплаты труда в связи с реализацией Указов Президента Российской Федерации за счет всех источников финансирования составил 80 млн. 537,2 тыс. рублей.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Для снижения неэффективных расходов в течение 2013 года муниципальным образованием проводились мероприятия по оптимизации расходов бюджета города, результат оптимизации к концу года составил – 154 млн. 729,67 тыс. рублей.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Труд и занятость.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итогам 2013 года численность экономически активного населения по городу Покачи составила 10, 2 тыс. человек, или 53,5 % от общей численности населения.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Среднесписочная численность работников (по полному кругу организаций) в январе - декабре 2013 года составила 9,31 тыс. человек (2012 год – 9,56 тыс. человек). Снижение численности работников (по полному кругу организаций), по сравнению с 2012 годом,  произошло за счет сокращения численности работающих по крупным и средним предприятиям и организациям города, в связи с их реорганизацией и отнесение численности их работающих, согласно Положениям </w:t>
      </w:r>
      <w:proofErr w:type="spell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Госстатучета</w:t>
      </w:r>
      <w:proofErr w:type="spell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, к другим городам</w:t>
      </w: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Преобладающая часть занятого населения – 7,65 тыс. человек сосредоточена на крупных и средних предприятиях и организациях города. По итогам 2013 года сохранены положительные тенденции, сложившиеся на рынке труда:</w:t>
      </w:r>
    </w:p>
    <w:p w:rsidR="00FA3B57" w:rsidRPr="009A4D78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уровень регистрируемой безработицы снизился на 0,5% по </w:t>
      </w:r>
      <w:r w:rsidRPr="009A4D78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сравнению с 2012 годом и составил 0,47 %.</w:t>
      </w:r>
    </w:p>
    <w:p w:rsidR="00FA3B57" w:rsidRPr="009A4D78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D78">
        <w:rPr>
          <w:rFonts w:ascii="Times New Roman" w:eastAsia="Times New Roman" w:hAnsi="Times New Roman" w:cs="Times New Roman"/>
          <w:bCs/>
          <w:sz w:val="28"/>
          <w:szCs w:val="28"/>
        </w:rPr>
        <w:t>Численность граждан, обратившихся в КУ «Покачевский центр занятости населения» за содействием в поиске подходящей работы в январе - декабре 2013 года, снизилась по сравнению с аналогичным периодом прошлого года на 138 чел. и составила 845 чел. (в 2012 году - 983 чел.).</w:t>
      </w:r>
    </w:p>
    <w:p w:rsidR="00FA3B57" w:rsidRPr="009A4D78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D7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 анализе данного показателя выявлено, что наибольшее количество человек обратилось в 2012 году. Снижению числа обращений способствовало улучшение ситуации на рынке труда г. Покачи, в частности, улучшение ситуации на предприятиях города, что привело к уменьшению количества увольнений. Кроме того, влияние на изменение данного показателя оказывает информационный портал «Работа в России», где граждане могут ознакомиться с потребностью в работниках по г. Покачи и в целом по России, не обращаясь непосредственно в Центр занятости. Также вакансии по городу Покачи еженедельно размещаются на официальном сайте администрации города Покачи.</w:t>
      </w:r>
    </w:p>
    <w:p w:rsidR="00FA3B57" w:rsidRPr="009A4D78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A4D78">
        <w:rPr>
          <w:rFonts w:ascii="Times New Roman" w:eastAsia="Times New Roman" w:hAnsi="Times New Roman" w:cs="Times New Roman"/>
          <w:bCs/>
          <w:sz w:val="28"/>
          <w:szCs w:val="28"/>
        </w:rPr>
        <w:t>В течение 2013 года велась активная работа по недопущению  роста безработицы, заключались договора с предприятиями города по временному трудоустройству граждан в рамках целевой Программы Ханты - Мансийского автономного округа – Югры «Содействие занятости населения на 2011-2013 годы», состоящих на регистрационном учете, проводились консультации  и беседы с безработными гражданами по выявлению способностей к открытию собственного дела.</w:t>
      </w:r>
      <w:proofErr w:type="gramEnd"/>
      <w:r w:rsidRPr="009A4D7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Давались рекомендации по самостоятельному поиску работы.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«Число новых созданных рабочих мест», нет возможности проанализировать, в виду отсутствия достоверного источника поступления данных.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 7. Организация муниципального управления.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решении Думы города от 21.06.2013 №74  утверждены плановые показатели за 2013 год. К концу финансового года показатели изменились по нескольким отраслям из-за дополнительно поступивших финансовых средств  в местный бюджет.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Фактическое исполнение уменьшилось по отраслям: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- по здравоохранению в связи с не</w:t>
      </w:r>
      <w:r w:rsidR="00D844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освоением МБУЗ ЦГБ субвенции на организацию оказания медицинской помощи в соответствии с территориальной программой государственных гарантий оказания гражданам Российской  Федерации бесплатной медицинской помощи;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- по физической культуре и спорту в связи с тем, что сокращены расходы на капитальный ремонт  плавательного бассейна Дельфин.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в решении Думы города от 21.06.2013 №74 отражены плановые ассигнования, включающие все расходы, связанные с содержанием работников органов местного самоуправления в пределах норматива, утвержденного постановлением Правительства Ханты-Мансийского автономного округа - Югры от 6 августа 2010 года N191-п "О нормативах формирования расходов на содержание органов местного самоуправления Ханты-Мансийского автономного округа - Югры" (с последующими изменениями). </w:t>
      </w:r>
      <w:proofErr w:type="gramEnd"/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8. Развитие социальной сферы.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Подраздел 8.1 Образование.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показателю</w:t>
      </w:r>
      <w:r w:rsidRPr="00627F6D">
        <w:rPr>
          <w:rFonts w:ascii="Times New Roman" w:hAnsi="Times New Roman" w:cs="Times New Roman"/>
          <w:sz w:val="28"/>
          <w:szCs w:val="28"/>
        </w:rPr>
        <w:t xml:space="preserve"> «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Доля детей в возрасте 5-18 лет, получающих услуги по дополнительному образованию </w:t>
      </w: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от обшей</w:t>
      </w:r>
      <w:proofErr w:type="gram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численности детей данной возвратной группы», уменьшение произошло за счет снижения количества учащихся, занимающихся в кружках и секциях в общеобразовательных учреждениях, а так же за счет сокращение ставок педагогов дополнительного образования детей.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27F6D">
        <w:rPr>
          <w:rFonts w:ascii="Times New Roman" w:hAnsi="Times New Roman" w:cs="Times New Roman"/>
          <w:sz w:val="28"/>
          <w:szCs w:val="28"/>
        </w:rPr>
        <w:t>Доля выпускников, преодолевших минимальный порог по обязательным предметам (русскому языку и математике) в форме ЕГЭ, в 2013 году составил 99%.  Одна участница ЕГЭ не преодолела минимальный порог по математике, соответственно не получила аттестат о среднем общем образовании.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Стоит отметить, что показатели осуществляются как в рамках текущей деятельности  учреждения, так и в рамках реализации муниципальной программы «Развитие системы образования города Покачи на 2010-2013 годы и на период до 2015 года».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Подраздел 8.2 Здравоохранение.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Инфраструктура здравоохранения города Покачи представлена двумя муниципальными учреждениями: муниципальное бюджетное учреждение здравоохранения «Центральная городская больница» и муниципальное автономное учреждение здравоохранения «Стоматологическая поликлиника». Оба учреждения функционируют в системе обязательного медицинского страхования и оказывают платные медицинские услуги (включая услуги в рамках добровольного медицинского страхования).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Материально – техническое оснащение лечебного учреждения в 2013 году осуществлялось за счет средств окружного бюджета согласно распределению диагностического оборудования, поставляемого в лечебно - профилактические учреждения в соответствии с государственными контрактами. </w:t>
      </w: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В целом, за счет всех источников финансирования по итогам 2013 года, объем финансирования увеличился в сравнении с аналогичным периодом прошлого года в среднем на 9,1%.  Программа «Модернизация здравоохранения в ХМАО-Югре» действовала в период 2011-2012г.г. Наряду с уменьшением расходов за счет средств бюджета по итогам 12 месяцев 2013 года наблюдается увеличение доходов (расходов) по средствам обязательного медицинского страхования в среднем</w:t>
      </w:r>
      <w:proofErr w:type="gram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59%, в связи с переходом с января 2013 года на преимущественно одноканальное финансирование через систему ОМС. С 01 января 2014 года в плановом порядке, согласно распоряжению Правительства ХМАО-Югры от 22.12.2012 №762 все учреждения здравоохранения города Покачи были переданы в государственную собственность Ханты-Мансийского автономного округа-Югры.</w:t>
      </w: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показателю «Объем медицинской помощи, предоставляемой муниципальными учреждениями здравоохранения в расчете на одного 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жителя, в том числе: стационарной  помощи», снижение произошло в связи с развитием стационар</w:t>
      </w:r>
      <w:r w:rsidR="00D844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замещающих технологий (дневные стационары при поликлиниках), сокращение средней продолжительности пребывания больного на койке согласно стандартам лечения.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А также  «по амбулаторной  помощи» превышение факта в 2013 году от плана связано с реализацией мероприятий по проведению диспансеризации определенных гру</w:t>
      </w: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пп взр</w:t>
      </w:r>
      <w:proofErr w:type="gram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ослого населения (приказ Минздрава РФ от 03.12.2012 № 1006н). Показатель указан по БУ «Покачевская городская больница». В связи с тем, что годовую отчетность за 2013 год лечебные учреждения города по объемам помощи и финансированию сдавали самостоятельно, данных по ЛПУ в целом (сводная по больнице и стоматологической поликлинике) в БУ «Покачевская городская больница» нет.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показателю «дневных стационаров» отклонение факта 2013 года от планового показателя связано с развитием </w:t>
      </w:r>
      <w:proofErr w:type="spell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стационарзамещающих</w:t>
      </w:r>
      <w:proofErr w:type="spell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технологий, что приводит к сокращению расходов медицинской помощи круглосуточных стационаров.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«скорой помощи» превышение связано с увеличением числа вызовов скорой помощи на 30,3% в сравнении с фактом 2012 года (6797 в 2013г., 5216 - в 2012г.), в связи с обслуживанием онкологических пациентов, а также увеличением числа необоснованных вызовов в 2013 году на 22,3% в сравнении с 2012 годом (в 2013г. - 236, в 2012г. - 193).</w:t>
      </w:r>
      <w:proofErr w:type="gramEnd"/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«Обеспеченность населения амбулаторно - поликлиническими учреждениями» факт 2013 года указан по БУ «Покачевская городская больница» согласно годовой отчетности. Плановый показатель - показатель по двум учреждения города Покачи.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«Средняя стоимость койко-дня в муниципальных стационарных медицинских учреждениях» факт 2013 года соответствует данным таблицы 4000 стат. формы № 62 за 2013 год (число койко-дней 42629, сумма исполнения 172 332 024 руб.)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«Стоимость содержания одной койки в муниципальных учреждениях здравоохранения в сутки»</w:t>
      </w:r>
      <w:r w:rsidRPr="00627F6D">
        <w:rPr>
          <w:rFonts w:ascii="Times New Roman" w:hAnsi="Times New Roman" w:cs="Times New Roman"/>
          <w:sz w:val="28"/>
          <w:szCs w:val="28"/>
        </w:rPr>
        <w:t xml:space="preserve"> 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расчет произведен на 131 круглосуточную койку, расходы - согласно таб.4000 стат. формы № 62 за 2013 год.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«Число коек в муниципальных учреждениях здравоохранения на 10 000 человек населения» число коек 131, кроме того 6 реанимационных, 8 коек для новорожденных. Расчет произведен на 131 круглосуточную койку без коек "кроме того", численность постоянного населения 17 273 человека - согласно данным переписи населения по состоянию на 31.12.2013г.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показателю «Средняя продолжительность пребывания пациента на койке в круглосуточном стационаре муниципальных учреждений здравоохранения» отклонение фактического показателя 2013 от плана в соответствии со стандартами лечения больных.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показателю «Среднегодовая занятость койки в муниципальных учреждениях здравоохранения» отклонение факта 2013 от планового показателя в связи с закрытием на плановый ремонт родильного отделения, а также с учетом средней продолжительности пребывания пациента на койке.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«Доля муниципальных медицинских учреждений: переведенных на оплату медицинской помощи по результатам деятельности»: на оплату медицинской помощи по результатам деятельности планируется перейти с 2015 года на основании нормативных документов Департамента здравоохранения автономного округа.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«Число работающих в муниципальных учреждениях здравоохранения в расчете на 10 000 человек населения» факт за 2013 год по физической численности работников учреждений здравоохранения составил 501 человек по ЛПУ города. Отклонение показателя в связи с низкой укомплектованностью врачебными кадрами и средним медицинским персоналом.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«Число среднего медицинского персонала в муниципальных учреждениях здравоохранения в расчете на 10 000 человек населения» факт за 2013 год по физической численности средних медицинских работников учреждений здравоохранения составил 207 человек по ЛПУ города, т.е. с учетом стоматологической поликлиники.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«Удовлетворенность населения медицинской помощью» данных за 2013 год в учреждении нет.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3B57" w:rsidRPr="00627F6D" w:rsidRDefault="00FA3B57" w:rsidP="00FA3B57">
      <w:pPr>
        <w:spacing w:after="0"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Подраздел 8.3 Физическая культура и спорт.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«Доля населения, систематически занимающегося физической культурой и спортом» увеличение произошло за счет привлечения к занятиям работников учреждений и организацией клубов по месту жительства и учебы.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населения услугами физической культуры и спорта предусмотрено за счет расширения инфраструктуры, за счет повышения эффективности деятельности муниципальных спортивных учреждений. Количество штатных единиц в муниципальных учреждениях спорта составляет – 250,75 ставок, из них количество штатных единиц педагогических работников составляет – 73 ставки. На территории города функционируют 4 объекта спорта с единовременной пропускной способностью – 646 человек.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программа «Обеспечение условий для развития физиче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ской культуры и массового спорта в городе Покачи на 2013 год» направлена на то, чтобы в результате ее реализации увеличить количество систематически занимающихся физкультурой и спортом в городе, а также значительно улучшить физическую и тактическую подготовку учащихся  детско-юношеской спортивной школы, мастерство ее выпускников. Решение задач и целей программы позволит 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улучшить ряд пока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softHyphen/>
        <w:t>зателей, характеризующих социально-экономическое развитие, повысит оценку эффек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тивности деятельности администрации города Покачи по вопросам развития физкульту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ры и спорта.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3B57" w:rsidRPr="00627F6D" w:rsidRDefault="00FA3B57" w:rsidP="00FA3B57">
      <w:pPr>
        <w:spacing w:after="0"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Подраздел 8.4 Социальная и </w:t>
      </w:r>
      <w:proofErr w:type="gramStart"/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>криминогенная обстановка</w:t>
      </w:r>
      <w:proofErr w:type="gramEnd"/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показателю «Количество зарегистрированных преступлений» значение увеличилось в связи с сокращением штатной численности сотрудников ОМВД</w:t>
      </w: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показателю «Количество административных правонарушений (учитывая правонарушения, зафиксированные ГИБДД)» значение уменьшилось в связи с изменением в административном законодательстве  (отменена часть 1 ст. 12.15 КоАП РФ), также повышение  размера штрафов, ГИБДД фиксирует меньше нарушений</w:t>
      </w: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показателю «Численность потерпевших» увеличение обусловлено ростом общего количества преступлений.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Подраздел 8.5 Жилищно-коммунальное хозяйство.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«Доля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организацией»,  изменение произошло в связи с выбором собственников способа управления управляющей организацией частной формы собственности (без учета многоквартирных домов, в которых ОМСУ проводил открытый конкурс по отбору управляющей организации и без учета, где осуществляется непосредственный способ управления- 10 домов (17,3</w:t>
      </w:r>
      <w:proofErr w:type="gram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%)  (</w:t>
      </w: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43 дома). </w:t>
      </w:r>
      <w:proofErr w:type="gramEnd"/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2 статьи 161 Жилищного кодекса Российской Федерации, собственники помещений в многоквартирном доме обязаны выбрать один из способов управления многоквартирным домом: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1) непосредственное управление собственниками помещений в многоквартирном доме;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3) управление управляющей организацией.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В муниципальном образовании город Покачи управление многоквартирными домами осуществляется двумя способами: непосредственное управление собственниками помещений и управление управляющей организацией ООО «Комфорт плюс», ТСЖ  в городе Покачи нет.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 местного самоуправления в порядке, установленном Правительством Российской Федерации, проводит открытый конкурс по отбору управляющей организации, если в течение года до дня проведения указанного конкурса собственниками помещений в МКД не 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выбран способ управления этим домом или принятое решение о выборе способа управления этим домом не было реализовано.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проекте реализации Стратегии на период до 2020 года за 2013 год откорректированы значения показателей оценки эффективности и приведены в соответствие с «Показателями </w:t>
      </w: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эффективности деятельности органов местного самоуправления города</w:t>
      </w:r>
      <w:proofErr w:type="gram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Покачи за 2013 год»: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По показателю 58. «Доля многоквартирных домов, в которых собственники помещений выбрали и реализуют один из способов управления многоквартирными домами»: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1) 58.1 «Непосредственное управление собственниками помещений в многоквартирном доме» - отклонений нет;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2)  58.2 «Управление управляющей организацией частной формы собственности»: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Изменение показателя произошло с выбором собственников способа управления управляющей организацией частной формы собственности, без учета многоквартирных домов, в которых орган местного самоуправления проводит открытый конкурс по отбору управляющей организации и без учета, где осуществляется непосредственный способ управления.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Согласно Федеральному статистическому наблюдению «Сведения о жилищном фонде» по состоянию на 31.12.2013 года количество многоквартирных домов в городе Покачи за 2013 год составляет 58 домов, в том числе: доля многоквартирных домов, в которых собственники помещений выбрали и реализуют один из способов управления многоквартирными домами (приложение 2 к письму):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1) управление управляющей организацией частной формы собственности - 43 дома 74,1%;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2) непосредственное управление собственниками помещений в многоквартирном доме: - 4 дома 6,9%;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3) управление товариществом собственников жилья либо жилищным кооперативом или иным специализированным потребительским кооперативом – нет;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4) многоквартирные дома, в которых орган местного самоуправления проводил открытый конкурс по отбору управляющей организации</w:t>
      </w:r>
      <w:r w:rsidR="001F0CE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10 домов – 17,2%;</w:t>
      </w:r>
      <w:r w:rsidR="001F0CE6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    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5) управление управляющей компанией в 2013 году не осуществляется по домам под «снос» (дома расселены, но не исключены из реестра МКД) - 1дом – 1,8%.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Уменьшение жилищного фонда связано с плановым сносом двух жилых многоквартирных домов (6,6тыс.кв</w:t>
      </w: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) и переводом жилых помещений в нежилые (16,6 </w:t>
      </w:r>
      <w:proofErr w:type="spell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тыс.кв.м</w:t>
      </w:r>
      <w:proofErr w:type="spell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общежития ТПП) Выбыло общей площади за 2013 год 23,2 </w:t>
      </w:r>
      <w:proofErr w:type="spell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тыс.кв.м</w:t>
      </w:r>
      <w:proofErr w:type="spell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данные согласно </w:t>
      </w:r>
      <w:proofErr w:type="spell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стат.отчету</w:t>
      </w:r>
      <w:proofErr w:type="spell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№1-жилфонд.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Введено в эксплуатацию в 2013 году два многоквартирных дома по ул. </w:t>
      </w: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Харьковская</w:t>
      </w:r>
      <w:proofErr w:type="gram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д. 6- 2,5 </w:t>
      </w:r>
      <w:proofErr w:type="spell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тыс.кв</w:t>
      </w:r>
      <w:proofErr w:type="spell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. м и ул. Харьковская д. 8 - 2,7 тыс. кв. м, ИЖС- 0,7 </w:t>
      </w:r>
      <w:proofErr w:type="spell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тыс.кв.м</w:t>
      </w:r>
      <w:proofErr w:type="spell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Выбыло общей площади (снесено за год) за 2013 год 23,2тыс.кв.м. Снесено два многоквартирных дома по ул. Тюменская д.3 - 0,8703 тыс. кв</w:t>
      </w: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, ул. Тюменская д.4 -0,8891тыс. кв.м, всего снесено -1,7594 тыс. кв.м, ИЖС- 4,9тыс.кв.м (данные согласно отчету №1-жилфонд 6,6тыс.кв.м.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В связи с уменьшением площади жилищного фонда (показателя 60.1) уменьшилась и средняя площадь на одного жителя (293200/17372 = 16,878 кв.м).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На 2013 год было запланировано строительство индивидуальных жилых домов (далее - ИЖД) общей площадью 501 кв.м., а введено в эксплуатацию всего: 5975,1 кв.м. жилья, в том числе:  6 ИЖД, общая площадь жилых помещений (за исключением балконов веранд и</w:t>
      </w: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 террас)  - 713, 40 кв.м., и два 3-ех этажных многоквартирных жилых дома, общая площадь жилых помещений (за исключением балконов веранд и</w:t>
      </w:r>
      <w:proofErr w:type="gramEnd"/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 террас) – 5261,7 кв.м. 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27F6D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эффективности деятельности органов местного самоуправления городских округов</w:t>
      </w:r>
      <w:proofErr w:type="gramEnd"/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муниципальных районов ХМАО – Югры за 2013 год, </w:t>
      </w:r>
      <w:r w:rsidRPr="00627F6D">
        <w:rPr>
          <w:rFonts w:ascii="Times New Roman" w:eastAsia="Times New Roman" w:hAnsi="Times New Roman" w:cs="Times New Roman"/>
          <w:sz w:val="28"/>
          <w:szCs w:val="28"/>
        </w:rPr>
        <w:t xml:space="preserve">проведенного Департаментом экономического развития автономного округа, </w:t>
      </w:r>
      <w:r w:rsidRPr="00627F6D">
        <w:rPr>
          <w:rFonts w:ascii="Times New Roman" w:eastAsia="Times New Roman" w:hAnsi="Times New Roman" w:cs="Times New Roman"/>
          <w:bCs/>
          <w:sz w:val="28"/>
          <w:szCs w:val="28"/>
        </w:rPr>
        <w:t>город Покачи, среди 22 территорий автономного округа, занял 8 место, повысив свой рейтинг, по сравнению с 2012 годом, на 2 позиции  (2012 год – 10 место).</w:t>
      </w:r>
    </w:p>
    <w:p w:rsidR="00FA3B57" w:rsidRPr="00627F6D" w:rsidRDefault="00FA3B57" w:rsidP="00FA3B57">
      <w:pPr>
        <w:pStyle w:val="a4"/>
        <w:spacing w:line="320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D36" w:rsidRPr="00627F6D" w:rsidRDefault="00C45D36" w:rsidP="00462E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6A75" w:rsidRPr="00627F6D" w:rsidRDefault="00FE6A75" w:rsidP="0046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6F4" w:rsidRPr="00627F6D" w:rsidRDefault="002166F4" w:rsidP="00462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6F4" w:rsidRPr="00627F6D" w:rsidRDefault="002166F4" w:rsidP="00FE6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6F4" w:rsidRPr="00627F6D" w:rsidSect="009A4D78">
      <w:footerReference w:type="default" r:id="rId10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72" w:rsidRDefault="002D2372" w:rsidP="009A4D78">
      <w:pPr>
        <w:spacing w:after="0" w:line="240" w:lineRule="auto"/>
      </w:pPr>
      <w:r>
        <w:separator/>
      </w:r>
    </w:p>
  </w:endnote>
  <w:endnote w:type="continuationSeparator" w:id="0">
    <w:p w:rsidR="002D2372" w:rsidRDefault="002D2372" w:rsidP="009A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086786"/>
      <w:docPartObj>
        <w:docPartGallery w:val="Page Numbers (Bottom of Page)"/>
        <w:docPartUnique/>
      </w:docPartObj>
    </w:sdtPr>
    <w:sdtEndPr/>
    <w:sdtContent>
      <w:p w:rsidR="009A4D78" w:rsidRDefault="009A4D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894">
          <w:rPr>
            <w:noProof/>
          </w:rPr>
          <w:t>4</w:t>
        </w:r>
        <w:r>
          <w:fldChar w:fldCharType="end"/>
        </w:r>
      </w:p>
    </w:sdtContent>
  </w:sdt>
  <w:p w:rsidR="009A4D78" w:rsidRDefault="009A4D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72" w:rsidRDefault="002D2372" w:rsidP="009A4D78">
      <w:pPr>
        <w:spacing w:after="0" w:line="240" w:lineRule="auto"/>
      </w:pPr>
      <w:r>
        <w:separator/>
      </w:r>
    </w:p>
  </w:footnote>
  <w:footnote w:type="continuationSeparator" w:id="0">
    <w:p w:rsidR="002D2372" w:rsidRDefault="002D2372" w:rsidP="009A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02AA8"/>
    <w:multiLevelType w:val="hybridMultilevel"/>
    <w:tmpl w:val="3E3CCE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274E62"/>
    <w:multiLevelType w:val="hybridMultilevel"/>
    <w:tmpl w:val="F5BEFD1C"/>
    <w:lvl w:ilvl="0" w:tplc="2A2A0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75"/>
    <w:rsid w:val="00003E14"/>
    <w:rsid w:val="000153E5"/>
    <w:rsid w:val="000173A4"/>
    <w:rsid w:val="00035CAC"/>
    <w:rsid w:val="00041741"/>
    <w:rsid w:val="000624AA"/>
    <w:rsid w:val="00067478"/>
    <w:rsid w:val="000765C4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07E70"/>
    <w:rsid w:val="00110809"/>
    <w:rsid w:val="00112FE6"/>
    <w:rsid w:val="0012595F"/>
    <w:rsid w:val="001463AB"/>
    <w:rsid w:val="00147193"/>
    <w:rsid w:val="001562D4"/>
    <w:rsid w:val="001852DE"/>
    <w:rsid w:val="00186590"/>
    <w:rsid w:val="001A32C5"/>
    <w:rsid w:val="001B57FC"/>
    <w:rsid w:val="001D2597"/>
    <w:rsid w:val="001F0CE6"/>
    <w:rsid w:val="0020214D"/>
    <w:rsid w:val="002065D1"/>
    <w:rsid w:val="002166F4"/>
    <w:rsid w:val="00216FA1"/>
    <w:rsid w:val="0021766A"/>
    <w:rsid w:val="002352F0"/>
    <w:rsid w:val="002A7C42"/>
    <w:rsid w:val="002B2F5C"/>
    <w:rsid w:val="002C2745"/>
    <w:rsid w:val="002D143C"/>
    <w:rsid w:val="002D2372"/>
    <w:rsid w:val="002F499B"/>
    <w:rsid w:val="00300A36"/>
    <w:rsid w:val="00301B40"/>
    <w:rsid w:val="003346E5"/>
    <w:rsid w:val="00342A52"/>
    <w:rsid w:val="003452E9"/>
    <w:rsid w:val="0035201D"/>
    <w:rsid w:val="0035283A"/>
    <w:rsid w:val="00373D99"/>
    <w:rsid w:val="00374A0C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79DC"/>
    <w:rsid w:val="00444BAA"/>
    <w:rsid w:val="00447423"/>
    <w:rsid w:val="00462EF3"/>
    <w:rsid w:val="004966E7"/>
    <w:rsid w:val="004A2043"/>
    <w:rsid w:val="004C3B41"/>
    <w:rsid w:val="004C4865"/>
    <w:rsid w:val="004C7F7A"/>
    <w:rsid w:val="004D16F9"/>
    <w:rsid w:val="004F46F0"/>
    <w:rsid w:val="00505041"/>
    <w:rsid w:val="005115BE"/>
    <w:rsid w:val="00515556"/>
    <w:rsid w:val="00531C6D"/>
    <w:rsid w:val="00534B06"/>
    <w:rsid w:val="005650CA"/>
    <w:rsid w:val="005848F5"/>
    <w:rsid w:val="00592068"/>
    <w:rsid w:val="00592804"/>
    <w:rsid w:val="005B09EE"/>
    <w:rsid w:val="005B4B53"/>
    <w:rsid w:val="005C1EE3"/>
    <w:rsid w:val="00600361"/>
    <w:rsid w:val="0061201D"/>
    <w:rsid w:val="00627F6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09D4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1314A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A4D78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C09F3"/>
    <w:rsid w:val="00AE0802"/>
    <w:rsid w:val="00AF5284"/>
    <w:rsid w:val="00B06A10"/>
    <w:rsid w:val="00B07E6A"/>
    <w:rsid w:val="00B14537"/>
    <w:rsid w:val="00B23D38"/>
    <w:rsid w:val="00B2422C"/>
    <w:rsid w:val="00B32313"/>
    <w:rsid w:val="00B36AF7"/>
    <w:rsid w:val="00B61B65"/>
    <w:rsid w:val="00B8684F"/>
    <w:rsid w:val="00B93023"/>
    <w:rsid w:val="00BA09EE"/>
    <w:rsid w:val="00BB2F2D"/>
    <w:rsid w:val="00BB70B4"/>
    <w:rsid w:val="00BC1FD7"/>
    <w:rsid w:val="00BC3577"/>
    <w:rsid w:val="00C0589F"/>
    <w:rsid w:val="00C148A0"/>
    <w:rsid w:val="00C349DC"/>
    <w:rsid w:val="00C4243C"/>
    <w:rsid w:val="00C45D36"/>
    <w:rsid w:val="00C53754"/>
    <w:rsid w:val="00C65894"/>
    <w:rsid w:val="00C8047E"/>
    <w:rsid w:val="00C82B34"/>
    <w:rsid w:val="00C82EE4"/>
    <w:rsid w:val="00C840A5"/>
    <w:rsid w:val="00C9173E"/>
    <w:rsid w:val="00CA5004"/>
    <w:rsid w:val="00CD6535"/>
    <w:rsid w:val="00D00A30"/>
    <w:rsid w:val="00D063EA"/>
    <w:rsid w:val="00D15756"/>
    <w:rsid w:val="00D33F8C"/>
    <w:rsid w:val="00D46446"/>
    <w:rsid w:val="00D80501"/>
    <w:rsid w:val="00D844F9"/>
    <w:rsid w:val="00D878F7"/>
    <w:rsid w:val="00D95AE0"/>
    <w:rsid w:val="00DA33A9"/>
    <w:rsid w:val="00DB4A86"/>
    <w:rsid w:val="00DB4E0E"/>
    <w:rsid w:val="00DB6EDD"/>
    <w:rsid w:val="00DD7827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D623D"/>
    <w:rsid w:val="00EE3BB1"/>
    <w:rsid w:val="00F3700A"/>
    <w:rsid w:val="00F41F78"/>
    <w:rsid w:val="00F569BF"/>
    <w:rsid w:val="00F73870"/>
    <w:rsid w:val="00F85999"/>
    <w:rsid w:val="00F9130F"/>
    <w:rsid w:val="00FA3B57"/>
    <w:rsid w:val="00FB6594"/>
    <w:rsid w:val="00FC1F9B"/>
    <w:rsid w:val="00FE311A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F3"/>
    <w:pPr>
      <w:ind w:left="720"/>
      <w:contextualSpacing/>
    </w:pPr>
  </w:style>
  <w:style w:type="paragraph" w:styleId="2">
    <w:name w:val="Body Text 2"/>
    <w:basedOn w:val="a"/>
    <w:link w:val="20"/>
    <w:rsid w:val="00FA3B5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3B5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4">
    <w:name w:val="No Spacing"/>
    <w:uiPriority w:val="1"/>
    <w:qFormat/>
    <w:rsid w:val="00FA3B5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8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D78"/>
  </w:style>
  <w:style w:type="paragraph" w:styleId="a9">
    <w:name w:val="footer"/>
    <w:basedOn w:val="a"/>
    <w:link w:val="aa"/>
    <w:uiPriority w:val="99"/>
    <w:unhideWhenUsed/>
    <w:rsid w:val="009A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F3"/>
    <w:pPr>
      <w:ind w:left="720"/>
      <w:contextualSpacing/>
    </w:pPr>
  </w:style>
  <w:style w:type="paragraph" w:styleId="2">
    <w:name w:val="Body Text 2"/>
    <w:basedOn w:val="a"/>
    <w:link w:val="20"/>
    <w:rsid w:val="00FA3B5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A3B5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4">
    <w:name w:val="No Spacing"/>
    <w:uiPriority w:val="1"/>
    <w:qFormat/>
    <w:rsid w:val="00FA3B5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8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D78"/>
  </w:style>
  <w:style w:type="paragraph" w:styleId="a9">
    <w:name w:val="footer"/>
    <w:basedOn w:val="a"/>
    <w:link w:val="aa"/>
    <w:uiPriority w:val="99"/>
    <w:unhideWhenUsed/>
    <w:rsid w:val="009A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12</cp:revision>
  <cp:lastPrinted>2014-10-15T04:19:00Z</cp:lastPrinted>
  <dcterms:created xsi:type="dcterms:W3CDTF">2014-10-15T04:19:00Z</dcterms:created>
  <dcterms:modified xsi:type="dcterms:W3CDTF">2014-10-20T10:45:00Z</dcterms:modified>
</cp:coreProperties>
</file>