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B" w:rsidRPr="00F84B9C" w:rsidRDefault="00D8029B" w:rsidP="00F050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84B9C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D8029B" w:rsidRPr="00F84B9C" w:rsidRDefault="00D8029B" w:rsidP="00F050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84B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</w:t>
      </w:r>
      <w:r w:rsidRPr="00F84B9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B168E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</w:t>
      </w:r>
      <w:r w:rsidRPr="00F84B9C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B168EC">
        <w:rPr>
          <w:rFonts w:ascii="Times New Roman" w:hAnsi="Times New Roman" w:cs="Times New Roman"/>
          <w:b w:val="0"/>
          <w:sz w:val="20"/>
          <w:szCs w:val="20"/>
        </w:rPr>
        <w:t>решению Думы</w:t>
      </w:r>
      <w:r w:rsidRPr="00F84B9C">
        <w:rPr>
          <w:rFonts w:ascii="Times New Roman" w:hAnsi="Times New Roman" w:cs="Times New Roman"/>
          <w:b w:val="0"/>
          <w:sz w:val="20"/>
          <w:szCs w:val="20"/>
        </w:rPr>
        <w:t xml:space="preserve">  города Покачи</w:t>
      </w:r>
    </w:p>
    <w:p w:rsidR="00D8029B" w:rsidRPr="00F84B9C" w:rsidRDefault="00D06442" w:rsidP="00F050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 w:rsidR="00F335C4">
        <w:rPr>
          <w:rFonts w:ascii="Times New Roman" w:hAnsi="Times New Roman" w:cs="Times New Roman"/>
          <w:b w:val="0"/>
          <w:sz w:val="20"/>
          <w:szCs w:val="20"/>
        </w:rPr>
        <w:t xml:space="preserve">      от 26.09.2014 №76</w:t>
      </w:r>
    </w:p>
    <w:p w:rsidR="00D8029B" w:rsidRPr="00F84B9C" w:rsidRDefault="00D8029B" w:rsidP="00D8029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353A" w:rsidRDefault="00B168EC" w:rsidP="00DC3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="00DC353A">
        <w:rPr>
          <w:rFonts w:ascii="Times New Roman" w:hAnsi="Times New Roman" w:cs="Times New Roman"/>
          <w:sz w:val="28"/>
          <w:szCs w:val="28"/>
        </w:rPr>
        <w:t>слуг, которые являются необходимыми</w:t>
      </w:r>
    </w:p>
    <w:p w:rsidR="00DC353A" w:rsidRDefault="00D8029B" w:rsidP="00DC3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353A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органами местного самоуправления муниципальных услуг</w:t>
      </w:r>
    </w:p>
    <w:p w:rsidR="00DC353A" w:rsidRDefault="00DC353A" w:rsidP="00DC3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495E93" w:rsidRDefault="00495E93" w:rsidP="00DC3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20" w:tblpY="248"/>
        <w:tblW w:w="15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79"/>
        <w:gridCol w:w="4832"/>
        <w:gridCol w:w="3979"/>
        <w:gridCol w:w="2059"/>
      </w:tblGrid>
      <w:tr w:rsidR="00495E93" w:rsidRPr="00D25713" w:rsidTr="00AB0F28">
        <w:trPr>
          <w:trHeight w:val="2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93" w:rsidRPr="00BD7C91" w:rsidRDefault="00495E93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93" w:rsidRPr="00BD7C91" w:rsidRDefault="00495E93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93" w:rsidRPr="00BD7C91" w:rsidRDefault="00495E93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услуги, которая   </w:t>
            </w: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является необходимой и обязательной для предоставления муниципальной услуги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93" w:rsidRPr="00BD7C91" w:rsidRDefault="00BF51FF" w:rsidP="00BF51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Ссылки на н</w:t>
            </w:r>
            <w:r w:rsidR="00495E93"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ормативный правовой акт,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95E93"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устанавливающий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495E93"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редоставление</w:t>
            </w:r>
            <w:r w:rsidR="00495E93"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необходимой и обязательной услуги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93" w:rsidRPr="00BD7C91" w:rsidRDefault="00495E93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Необходимая и      </w:t>
            </w:r>
            <w:r w:rsidRPr="00BD7C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обязательная услуга предоставляется за счет средств заявителя; за счет средств соответствующего бюджета</w:t>
            </w:r>
          </w:p>
        </w:tc>
      </w:tr>
    </w:tbl>
    <w:p w:rsidR="00495E93" w:rsidRPr="00AB0F28" w:rsidRDefault="00AB0F28" w:rsidP="00846450">
      <w:pPr>
        <w:pStyle w:val="ConsPlusTitle"/>
        <w:widowControl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7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0F28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  <w:r w:rsidRPr="00AB0F2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B0F28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819"/>
        <w:gridCol w:w="3969"/>
        <w:gridCol w:w="2127"/>
      </w:tblGrid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Подготовка, </w:t>
            </w:r>
          </w:p>
          <w:p w:rsidR="00BD4AB8" w:rsidRPr="001E6902" w:rsidRDefault="00BD4AB8" w:rsidP="000116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утверждение и выдача</w:t>
            </w:r>
          </w:p>
          <w:p w:rsidR="00BD4AB8" w:rsidRPr="001E6902" w:rsidRDefault="00BD4AB8" w:rsidP="000116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E6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градостроительных  планов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земельных участков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юридических лиц, в случае, если заявителем является юридическое лицо</w:t>
            </w:r>
          </w:p>
        </w:tc>
        <w:tc>
          <w:tcPr>
            <w:tcW w:w="3969" w:type="dxa"/>
            <w:vMerge w:val="restart"/>
          </w:tcPr>
          <w:p w:rsidR="000909CF" w:rsidRDefault="000909CF" w:rsidP="00090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44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  <w:r w:rsidR="00B13286" w:rsidRPr="00B13286">
              <w:rPr>
                <w:rFonts w:ascii="Times New Roman" w:hAnsi="Times New Roman"/>
                <w:sz w:val="24"/>
                <w:szCs w:val="24"/>
              </w:rPr>
              <w:t>" от 29.12.2004</w:t>
            </w:r>
            <w:r w:rsidR="00B13286">
              <w:rPr>
                <w:rFonts w:ascii="Times New Roman" w:hAnsi="Times New Roman"/>
                <w:sz w:val="24"/>
                <w:szCs w:val="24"/>
              </w:rPr>
              <w:t>,</w:t>
            </w:r>
            <w:r w:rsidR="00B13286" w:rsidRPr="00B13286">
              <w:rPr>
                <w:rFonts w:ascii="Times New Roman" w:hAnsi="Times New Roman"/>
                <w:sz w:val="24"/>
                <w:szCs w:val="24"/>
              </w:rPr>
              <w:t xml:space="preserve"> N 190-ФЗ (ред. от 21.07.2014)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2242" w:rsidRDefault="00322242" w:rsidP="00090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09CF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CC51BB"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 w:rsidR="000909CF"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="00CC51BB"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 w:rsidR="000909CF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CC51BB"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 w:rsidR="000909CF">
              <w:rPr>
                <w:rFonts w:ascii="Times New Roman" w:hAnsi="Times New Roman"/>
                <w:sz w:val="24"/>
                <w:szCs w:val="24"/>
              </w:rPr>
              <w:t>атьи 16</w:t>
            </w:r>
            <w:r w:rsidR="00CC51BB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0909C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0909CF">
              <w:rPr>
                <w:rFonts w:ascii="Times New Roman" w:hAnsi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общих принципах организации местного самоуправления в Российской Федерации»;</w:t>
            </w:r>
          </w:p>
          <w:p w:rsidR="00FA519E" w:rsidRDefault="00322242" w:rsidP="00322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подпунктом 26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пункта 1 статьи 6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D4AB8" w:rsidRPr="001E6902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главой 5 статьи 12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Думы города Покачи от 22.10.2013 № 108 «О Правилах землепользования и </w:t>
            </w:r>
            <w:proofErr w:type="gramStart"/>
            <w:r w:rsidR="00BD4AB8" w:rsidRPr="001E6902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Покачи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tabs>
                <w:tab w:val="left" w:pos="520"/>
              </w:tabs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выписки из государственного кадастра недвижимости (листы КВ.1, КВ.2, КВ.3, КВ.4, КВ.5, КВ.6) или кадастрового паспорта земельного участка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информации о расположенных в границах земельного участка объектах капитального строительства, объектах культурного наследия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</w:tcPr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 </w:t>
            </w:r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02">
              <w:rPr>
                <w:rFonts w:ascii="Times New Roman" w:hAnsi="Times New Roman"/>
                <w:sz w:val="24"/>
                <w:szCs w:val="24"/>
              </w:rPr>
              <w:t xml:space="preserve">(за исключением случаев, предусмотренных </w:t>
            </w:r>
            <w:proofErr w:type="gramEnd"/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Градостроительным кодексом </w:t>
            </w:r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0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Федерации, иными федеральными законами), </w:t>
            </w:r>
            <w:proofErr w:type="gramEnd"/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разрешения на ввод объектов в эксплуатацию</w:t>
            </w:r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при осуществлении строительства, реконструкции </w:t>
            </w:r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строительства, </w:t>
            </w:r>
          </w:p>
          <w:p w:rsidR="00495E93" w:rsidRPr="001E6902" w:rsidRDefault="00495E93" w:rsidP="00011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расположенны</w:t>
            </w:r>
            <w:r w:rsidR="000116B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Покачи </w:t>
            </w:r>
          </w:p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BF51FF" w:rsidP="0001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>ыдача правоуста</w:t>
            </w:r>
            <w:r w:rsidR="000116BD">
              <w:rPr>
                <w:rFonts w:ascii="Times New Roman" w:hAnsi="Times New Roman"/>
                <w:sz w:val="24"/>
                <w:szCs w:val="24"/>
              </w:rPr>
              <w:t>на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>вливающих документов на земельный участок</w:t>
            </w:r>
          </w:p>
        </w:tc>
        <w:tc>
          <w:tcPr>
            <w:tcW w:w="3969" w:type="dxa"/>
            <w:vMerge w:val="restart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51 Градостроительного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общих принципах организации местного самоуправления в Российской Федерации»;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E93" w:rsidRPr="001E6902" w:rsidRDefault="00495E93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заключение соглашения о передаче в случаях, установленных бюджетным законодательством Российской Федерации,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 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 или в случае строительства, реконструкции линейного объекта проекта планировки территории и проекта межевания территории (при строительстве, реконструкции и 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соответствующего 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разрешение) 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соответствующего 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материалов, содержащихся в проектной документации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  <w:r w:rsidR="000116B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 Федерации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положительного 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согласия всех правообладателей объекта капитального строительства в случае реконструкции такого объекта 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соглашения о проведении 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реконструкции, определяющее</w:t>
            </w:r>
            <w:r w:rsidR="00011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</w:t>
            </w:r>
            <w:r w:rsidR="00C82782">
              <w:rPr>
                <w:rFonts w:ascii="Times New Roman" w:hAnsi="Times New Roman"/>
                <w:sz w:val="24"/>
                <w:szCs w:val="24"/>
              </w:rPr>
              <w:t>при осуществлении реконструкции;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6902">
              <w:rPr>
                <w:rFonts w:ascii="Times New Roman" w:hAnsi="Times New Roman"/>
                <w:sz w:val="24"/>
                <w:szCs w:val="24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1E6902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1E6902">
              <w:rPr>
                <w:rFonts w:ascii="Times New Roman" w:hAnsi="Times New Roman"/>
                <w:sz w:val="24"/>
                <w:szCs w:val="24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права собственника имущества 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решения общего собрания собственников помещений в многоквартирном доме, принятое в соответствии с жилищным </w:t>
            </w:r>
            <w:hyperlink r:id="rId6" w:history="1">
              <w:r w:rsidRPr="001E690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случае реконструкции многоквартирного дома, или, если в 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строительстве, реконструкции)</w:t>
            </w:r>
          </w:p>
        </w:tc>
        <w:tc>
          <w:tcPr>
            <w:tcW w:w="3969" w:type="dxa"/>
            <w:vMerge w:val="restart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схемы планировочной организации земельного участка с обозначением места размещения объекта индивидуального жилищного строительства – 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случае осуществления строительства, реконструкции объектов индивидуального жилищного строительства (при строительстве, реконструкции)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D908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02">
              <w:rPr>
                <w:rFonts w:ascii="Times New Roman" w:hAnsi="Times New Roman"/>
                <w:sz w:val="24"/>
                <w:szCs w:val="24"/>
              </w:rPr>
              <w:t>выдача заключения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</w:t>
            </w:r>
            <w:r w:rsidR="00D90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строительстве, в случае, если заявление</w:t>
            </w:r>
            <w:proofErr w:type="gramEnd"/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 (при продлении срока действия разрешения на строительство)</w:t>
            </w:r>
          </w:p>
        </w:tc>
        <w:tc>
          <w:tcPr>
            <w:tcW w:w="3969" w:type="dxa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20 статьи 51 Градостроительного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  <w:r w:rsidR="00495E93" w:rsidRPr="001E69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общих принципах организации местного самоуправления в Российской Федерации»;</w:t>
            </w:r>
          </w:p>
          <w:p w:rsidR="00495E93" w:rsidRPr="001E6902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 w:rsidR="00043E5C">
              <w:rPr>
                <w:rFonts w:ascii="Times New Roman" w:hAnsi="Times New Roman"/>
                <w:sz w:val="24"/>
                <w:szCs w:val="24"/>
              </w:rPr>
              <w:t>а города Покачи.</w:t>
            </w: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(при вводе объекта в эксплуатацию)</w:t>
            </w:r>
          </w:p>
        </w:tc>
        <w:tc>
          <w:tcPr>
            <w:tcW w:w="3969" w:type="dxa"/>
            <w:vMerge w:val="restart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пунктом 3 статьи 55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общих принципах организации местного самоуправления в Российской Федерации»;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Покачи.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E93" w:rsidRPr="001E6902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соответствующего 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(при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документа, подтверждающ</w:t>
            </w:r>
            <w:r w:rsidR="000116BD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требованиям технических регламентов и подписанн</w:t>
            </w:r>
            <w:r w:rsidR="000116B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лицом, осуществляющим строительство (при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BF51FF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документов, подтверждающи</w:t>
            </w:r>
            <w:r w:rsidR="00BF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BF51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схемы, отображающ</w:t>
            </w:r>
            <w:r w:rsidR="00BF5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ей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вводе объекта в эксплуатацию)</w:t>
            </w:r>
            <w:proofErr w:type="gramEnd"/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вводе объекта в эксплуатацию)</w:t>
            </w:r>
          </w:p>
        </w:tc>
        <w:tc>
          <w:tcPr>
            <w:tcW w:w="3969" w:type="dxa"/>
            <w:vMerge w:val="restart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3 статьи 55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Покачи.</w:t>
            </w:r>
          </w:p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заключения федерального государственного экологического надзора в случаях, предусмотренных </w:t>
            </w:r>
            <w:hyperlink r:id="rId7" w:history="1">
              <w:r w:rsidRPr="001E6902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частью 7 статьи 54</w:t>
              </w:r>
            </w:hyperlink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 (при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A3567A" w:rsidRDefault="00A3567A" w:rsidP="00A3567A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документа, подтверждающего</w:t>
            </w:r>
            <w:r w:rsidR="00495E93"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заключение </w:t>
            </w:r>
            <w:proofErr w:type="gramStart"/>
            <w:r w:rsidR="00495E93"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495E93"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 причинение вреда в результате аварии на опасном объекте в соответствии с </w:t>
            </w:r>
            <w:hyperlink r:id="rId8" w:history="1">
              <w:r w:rsidR="00495E93" w:rsidRPr="00A3567A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="00495E93"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      </w:r>
            <w:r w:rsidR="00495E93" w:rsidRPr="00A3567A">
              <w:rPr>
                <w:rFonts w:ascii="Times New Roman" w:hAnsi="Times New Roman"/>
                <w:sz w:val="24"/>
                <w:szCs w:val="24"/>
              </w:rPr>
              <w:t>(при вводе объекта в эксплуатацию)</w:t>
            </w: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A3567A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A3567A">
              <w:rPr>
                <w:rFonts w:ascii="Times New Roman" w:hAnsi="Times New Roman"/>
                <w:sz w:val="24"/>
                <w:szCs w:val="24"/>
              </w:rPr>
              <w:t xml:space="preserve">выдача технического плана, подготовленного в соответствии с требованиями </w:t>
            </w:r>
            <w:hyperlink r:id="rId9" w:history="1">
              <w:r w:rsidRPr="00A3567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41</w:t>
              </w:r>
            </w:hyperlink>
            <w:r w:rsidRPr="00A3567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государственном кадастре недвижимости» от 24.07.2007  № 221-ФЗ   (при вводе объекта в эксплуатацию)</w:t>
            </w:r>
          </w:p>
        </w:tc>
        <w:tc>
          <w:tcPr>
            <w:tcW w:w="3969" w:type="dxa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пунктом 4 статьи 55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E93" w:rsidRPr="001E6902" w:rsidRDefault="00495E93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0" w:history="1">
              <w:r w:rsidRPr="00A3567A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пунктами 2</w:t>
              </w:r>
            </w:hyperlink>
            <w:r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A3567A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8</w:t>
              </w:r>
            </w:hyperlink>
            <w:r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hyperlink r:id="rId12" w:history="1">
              <w:r w:rsidRPr="00A3567A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10</w:t>
              </w:r>
            </w:hyperlink>
            <w:r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A3567A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11.1 части 12 статьи 48</w:t>
              </w:r>
            </w:hyperlink>
            <w:r w:rsidRP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</w:t>
            </w:r>
            <w:proofErr w:type="gramEnd"/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строительства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(при вводе объекта в эксплуатацию);</w:t>
            </w:r>
          </w:p>
        </w:tc>
        <w:tc>
          <w:tcPr>
            <w:tcW w:w="3969" w:type="dxa"/>
          </w:tcPr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пунктом 7 статьи 55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общих принципах организации местного самоуправления в Российской Федерации»;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86" w:rsidRDefault="00B13286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5E93" w:rsidRDefault="00495E93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0C9" w:rsidRPr="001E6902" w:rsidRDefault="00B410C9" w:rsidP="00B13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5E93" w:rsidRPr="001E6902" w:rsidRDefault="00495E93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4AB8" w:rsidRPr="00674C11" w:rsidRDefault="00BD4AB8" w:rsidP="000116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C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сведений </w:t>
            </w:r>
          </w:p>
          <w:p w:rsidR="00BD4AB8" w:rsidRPr="00674C11" w:rsidRDefault="00BD4AB8" w:rsidP="000116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C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информационной системы обеспечения </w:t>
            </w:r>
          </w:p>
          <w:p w:rsidR="00BD4AB8" w:rsidRPr="00674C11" w:rsidRDefault="00BD4AB8" w:rsidP="000116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C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градостроительной деятельности 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674C11">
              <w:rPr>
                <w:rFonts w:ascii="Times New Roman" w:hAnsi="Times New Roman"/>
                <w:sz w:val="24"/>
                <w:szCs w:val="24"/>
              </w:rPr>
              <w:t>города Покачи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копии квитанции об оплате</w:t>
            </w:r>
          </w:p>
        </w:tc>
        <w:tc>
          <w:tcPr>
            <w:tcW w:w="3969" w:type="dxa"/>
          </w:tcPr>
          <w:p w:rsidR="00A3567A" w:rsidRDefault="00A3567A" w:rsidP="00A3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56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A3567A" w:rsidRDefault="00A3567A" w:rsidP="00A3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26 п</w:t>
            </w:r>
            <w:r>
              <w:rPr>
                <w:rFonts w:ascii="Times New Roman" w:hAnsi="Times New Roman"/>
                <w:sz w:val="24"/>
                <w:szCs w:val="24"/>
              </w:rPr>
              <w:t>ункта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 16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от 06.10.2013 № 131-ФЗ «Об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A3567A" w:rsidRDefault="00A3567A" w:rsidP="00A3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подпунктом 26 пункта 1 статьи 6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 города Покачи</w:t>
            </w:r>
            <w:r w:rsidR="00043E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67A" w:rsidRDefault="00A3567A" w:rsidP="00A3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главой 6 статьи 15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Думы города Покачи от 22.10.2013 № 108 «О Правилах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города Покачи, аннулирование таких разрешений, выдача предписаний о демонтаже установленных рекламных конструкций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правоуста</w:t>
            </w:r>
            <w:r w:rsidR="00674C1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вливающих документов на земельный участок, здание</w:t>
            </w:r>
          </w:p>
        </w:tc>
        <w:tc>
          <w:tcPr>
            <w:tcW w:w="3969" w:type="dxa"/>
            <w:vMerge w:val="restart"/>
          </w:tcPr>
          <w:p w:rsidR="00BD4AB8" w:rsidRPr="001E6902" w:rsidRDefault="00A41242" w:rsidP="00A356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</w:t>
            </w:r>
            <w:r w:rsid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</w:t>
            </w:r>
            <w:r w:rsid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 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</w:t>
            </w:r>
            <w:r w:rsidR="00A356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13.03.2006 № 38-ФЗ «О рекламе»</w:t>
            </w:r>
            <w:r w:rsidR="00043E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сведений из ЕГРЮЛ или ЕГРИП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копии квитанции об оплате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Заключение согласия собственника,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Выдача схемы размещения рекламной конструкции, цветного эскиза </w:t>
            </w:r>
            <w:proofErr w:type="spellStart"/>
            <w:r w:rsidRPr="001E6902">
              <w:rPr>
                <w:rFonts w:ascii="Times New Roman" w:hAnsi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Выдача правоуста</w:t>
            </w:r>
            <w:r w:rsidR="00A4124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вливающих документов на земельный участок, здание</w:t>
            </w:r>
          </w:p>
        </w:tc>
        <w:tc>
          <w:tcPr>
            <w:tcW w:w="3969" w:type="dxa"/>
            <w:vMerge w:val="restart"/>
          </w:tcPr>
          <w:p w:rsidR="00543C2C" w:rsidRDefault="00543C2C" w:rsidP="00543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39 Градостроительного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F14EBF" w:rsidRDefault="00B0216D" w:rsidP="00F14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4EBF">
              <w:rPr>
                <w:rFonts w:ascii="Times New Roman" w:hAnsi="Times New Roman"/>
                <w:sz w:val="24"/>
                <w:szCs w:val="24"/>
              </w:rPr>
              <w:t xml:space="preserve"> соответствии с главой 1 статьи 11 </w:t>
            </w:r>
            <w:r w:rsidR="00F14EB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Думы города Покачи от 22.10.2013 № 108 «О Правилах землепользов</w:t>
            </w:r>
            <w:r w:rsidR="00F14EBF">
              <w:rPr>
                <w:rFonts w:ascii="Times New Roman" w:hAnsi="Times New Roman"/>
                <w:sz w:val="24"/>
                <w:szCs w:val="24"/>
              </w:rPr>
              <w:t xml:space="preserve">ания и </w:t>
            </w:r>
            <w:proofErr w:type="gramStart"/>
            <w:r w:rsidR="00F14EBF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="00F14EBF">
              <w:rPr>
                <w:rFonts w:ascii="Times New Roman" w:hAnsi="Times New Roman"/>
                <w:sz w:val="24"/>
                <w:szCs w:val="24"/>
              </w:rPr>
              <w:t xml:space="preserve"> Покачи»;</w:t>
            </w:r>
          </w:p>
          <w:p w:rsidR="00BD4AB8" w:rsidRPr="001E6902" w:rsidRDefault="00B0216D" w:rsidP="00F14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Покачи от 02.04.2009 № 198 «Об утверждении положения о комиссии по подготовке проекта правил землепользования и застройки»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За счет соответствующего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кадастрового паспорта земельного участка или кадастровой выписки о земельном участке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правоуста</w:t>
            </w:r>
            <w:r w:rsidR="00852AD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вливающих документов на земельный участок, здание</w:t>
            </w:r>
          </w:p>
        </w:tc>
        <w:tc>
          <w:tcPr>
            <w:tcW w:w="3969" w:type="dxa"/>
            <w:vMerge w:val="restart"/>
          </w:tcPr>
          <w:p w:rsidR="00043E5C" w:rsidRDefault="00B0216D" w:rsidP="00B0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AB8" w:rsidRPr="001E6902" w:rsidRDefault="00B0216D" w:rsidP="00B0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Покачи от 02.04.2009 № 198 «Об утверждении положения о комиссии по подготовке проекта правил землепользования и застройки»</w:t>
            </w:r>
            <w:r w:rsidR="00043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соответствующего 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кадастрового паспорта земельного участка или кадастровой выписки о земельном участке</w:t>
            </w:r>
          </w:p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города Покачи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правоуста</w:t>
            </w:r>
            <w:r w:rsidR="00852AD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вливающих документов на земельный участок</w:t>
            </w:r>
          </w:p>
        </w:tc>
        <w:tc>
          <w:tcPr>
            <w:tcW w:w="3969" w:type="dxa"/>
            <w:vMerge w:val="restart"/>
          </w:tcPr>
          <w:p w:rsidR="00BD4AB8" w:rsidRPr="001E6902" w:rsidRDefault="00043E5C" w:rsidP="000116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Думы города Покачи от 21.06.2013 № 69 «Об утверждении Правил благоустройства территории города Покачи"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BD4AB8" w:rsidRPr="001E6902" w:rsidRDefault="00043E5C" w:rsidP="00043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администрации от 05.06.2012 № 566 «Об   утверждении   Порядка   выдачи   разрешения   (ордера)   на производство земляных раб</w:t>
            </w:r>
            <w:r>
              <w:rPr>
                <w:rFonts w:ascii="Times New Roman" w:hAnsi="Times New Roman"/>
                <w:sz w:val="24"/>
                <w:szCs w:val="24"/>
              </w:rPr>
              <w:t>от на территории города Покачи».</w:t>
            </w: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копии разрешения на снос (вырубку) зеленых насаждений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соответствующего бюджета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копии свидетельства  о допуске к работам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схемы производства работ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схемы движения транспорта и пешеходов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предоставление генерального плана участка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гарантийного письма о выполнении работ по восстановлению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приказа заказчика (подрядчика) о назначении ответственных лиц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подписки ответственного лица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предоставление графика производства работ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Выдача разрешения на установку, реконструкцию, эксплуатацию объекта, не относящегося к объектам капитального строительства</w:t>
            </w: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учредительных документов, свидетельства о государственной регистрации </w:t>
            </w:r>
          </w:p>
        </w:tc>
        <w:tc>
          <w:tcPr>
            <w:tcW w:w="3969" w:type="dxa"/>
            <w:vMerge w:val="restart"/>
          </w:tcPr>
          <w:p w:rsidR="00BD4AB8" w:rsidRPr="001E6902" w:rsidRDefault="00043E5C" w:rsidP="000116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18 </w:t>
            </w:r>
            <w:r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Думы города Покачи от 21.06.2013 № 69 «Об утверждении Правил благоустройства территории города Покачи»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BD4AB8" w:rsidRPr="001E69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4AB8" w:rsidRPr="001E6902" w:rsidRDefault="00043E5C" w:rsidP="0001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Покачи от 05.05.2008 № 566 «Об утверждении порядка установки, реконструкции объектов, не относящихся к объектам капитального строительства, на территории города Покачи»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свидетельства о государственной регистрации в качестве индивидуального предпринимателя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ИНН 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выписки из единого государственного реестра юридических лиц, </w:t>
            </w:r>
            <w:proofErr w:type="gramStart"/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выданную</w:t>
            </w:r>
            <w:proofErr w:type="gramEnd"/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 не ранее чем за 30 дней до момента подачи заявления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выписки из единого государственного реестра индивидуальных предпринимателей, </w:t>
            </w:r>
            <w:proofErr w:type="gramStart"/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выданную</w:t>
            </w:r>
            <w:proofErr w:type="gramEnd"/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 не ранее чем за 30 дней до момента подачи заявления, - для индивидуальных предпринимателей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правоустанавливающих документов на земельный участок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144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 xml:space="preserve">выдача технических условий на подключение объекта, выданные </w:t>
            </w: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организациями, эксплуатирующими инженерные сети, в случае подключения объекта к сетям инженерной инфраструктуры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495E93" w:rsidRPr="001E6902" w:rsidTr="00BB0B62">
        <w:trPr>
          <w:trHeight w:val="543"/>
        </w:trPr>
        <w:tc>
          <w:tcPr>
            <w:tcW w:w="568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bCs/>
                <w:sz w:val="24"/>
                <w:szCs w:val="24"/>
              </w:rPr>
              <w:t>выдача проектной документации на объект</w:t>
            </w:r>
          </w:p>
        </w:tc>
        <w:tc>
          <w:tcPr>
            <w:tcW w:w="3969" w:type="dxa"/>
            <w:vMerge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AB8" w:rsidRPr="001E6902" w:rsidRDefault="00BD4AB8" w:rsidP="000116BD">
            <w:pPr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</w:tbl>
    <w:tbl>
      <w:tblPr>
        <w:tblpPr w:leftFromText="180" w:rightFromText="180" w:vertAnchor="text" w:horzAnchor="margin" w:tblpX="-214" w:tblpY="1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3261"/>
        <w:gridCol w:w="708"/>
        <w:gridCol w:w="4820"/>
        <w:gridCol w:w="3827"/>
        <w:gridCol w:w="1982"/>
      </w:tblGrid>
      <w:tr w:rsidR="00BD4AB8" w:rsidRPr="001E6902" w:rsidTr="000116BD">
        <w:trPr>
          <w:trHeight w:val="240"/>
        </w:trPr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муниципальной собственности Комитета по управлению муниципальным имуществом</w:t>
            </w:r>
            <w:r w:rsidR="00AB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Покачи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правоустанавливающих документов на переустраиваемое и (или) </w:t>
            </w:r>
            <w:proofErr w:type="spellStart"/>
            <w:r w:rsidRPr="001E6902">
              <w:rPr>
                <w:rFonts w:ascii="Times New Roman" w:hAnsi="Times New Roman" w:cs="Times New Roman"/>
                <w:bCs/>
                <w:sz w:val="24"/>
                <w:szCs w:val="24"/>
              </w:rPr>
              <w:t>перепланируемое</w:t>
            </w:r>
            <w:proofErr w:type="spellEnd"/>
            <w:r w:rsidRPr="001E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B8" w:rsidRPr="001E6902" w:rsidRDefault="00043E5C" w:rsidP="00043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2, 3, 4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Выдача технического паспорта жилого помещения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проекта переустройства и (или) перепланировки жилого помещения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правоустанавливающих документов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B8" w:rsidRPr="001E6902" w:rsidRDefault="00043E5C" w:rsidP="00043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2, 3, 5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3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проекта переустройства и (или) перепланировки переводимого помещения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передаче жилых помещений в собственность граждан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из БТИ (ФГУП «</w:t>
            </w:r>
            <w:proofErr w:type="spellStart"/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» - Федеральное БТИ) на всех участников приватизации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043E5C" w:rsidP="0031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BD4AB8" w:rsidRPr="00624A9D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624A9D">
              <w:rPr>
                <w:rFonts w:ascii="Times New Roman" w:hAnsi="Times New Roman"/>
                <w:sz w:val="24"/>
                <w:szCs w:val="24"/>
              </w:rPr>
              <w:t>ом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  от 04.07.1991 № 1541-1 «О приватизации жилищного фонда в Российской Федерации»</w:t>
            </w:r>
            <w:r w:rsidR="001112ED">
              <w:rPr>
                <w:rFonts w:ascii="Times New Roman" w:hAnsi="Times New Roman"/>
                <w:sz w:val="24"/>
                <w:szCs w:val="24"/>
              </w:rPr>
              <w:t>;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315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о составе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435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с места работы с отметкой о заключении договора на бронирование жилья за пределами</w:t>
            </w:r>
            <w:proofErr w:type="gramEnd"/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на каждого совершеннолетнего члена семьи, который будет входить в число собственников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48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решений о признании жилого помещения соответствующим (несоответствующим) установленным требованиям и пригодным (непригодным) для проживания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правоустанавливающих документов на жилое помещение (подлинники или засвидетельствованные в нотариальном порядке копии)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316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проекта реконструкции помещения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Принятие заявлений и выдача документов о передаче жилых помещений в муниципальную собственность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государственной регистрации права собственности на  жилое помещение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от 04.07.1991 № 1541-1 «О приватизации жилищного фонда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76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о составе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задолженности по коммунальным платежам и плате за электроэнергию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жилое помещение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выдача справок о присвоении адресов объектам недвижимости и предоставление информации из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адресного реестра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свидетельства о государственной регистрации права собственности на объект  недвижимости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1112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города Покачи от 08.07.2009 № 493 «О Порядке присвоения, регистрации адресов </w:t>
            </w:r>
            <w:r w:rsidR="00BD4AB8"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объектов недвижимости на территории города Покачи и ведения адресного реестра»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Выдача свидетельства о государственной </w:t>
            </w:r>
            <w:r w:rsidRPr="001E69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регистрации права собственности на земельный участок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в безвозмездное пользование и аренду без торгов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нотариально удостоверенных копии учредительных документов (для юридических лиц)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земельных ресурсов Комитета по управлению муниципальным имуществом</w:t>
            </w:r>
            <w:r w:rsidR="00AB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Покачи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без предварительного согласования места размещения объекта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</w:t>
            </w:r>
            <w:r w:rsidR="00E27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D4AB8" w:rsidRPr="001E6902" w:rsidRDefault="001112ED" w:rsidP="00111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02.12.2011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457-п «Об арендной плате за земельные участки земель населенных пунктов»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AB8" w:rsidRPr="001E6902" w:rsidRDefault="00BD4AB8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соответствующего</w:t>
            </w:r>
            <w:r w:rsidR="00F3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государственного кадастра недвижимости в виде кадастрового паспорта земельного участка или кадастровой выписки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выписки из Единого государственного реестра прав на 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</w:t>
            </w:r>
            <w:r w:rsidR="00E27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Правительства Ханты-Мансийского автономного округа – Югры от 02.12.2011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457-п «Об арендной плате за земельные участки земель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государственного кадастра недвижимости в виде кадастрового паспорта земельного участка или кадастровой выписки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Выдача  выписки из Единого государственного реестра прав на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для целей не связанных со строительством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</w:t>
            </w:r>
            <w:r w:rsidR="00E27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– Югры от 02.12.2011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457-п «Об арендной плате за земельные участки земель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государственного кадастра недвижимости в виде кадастрового паспорта земельного участка или кадастровой выписки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выписки из Единого государственного реестра прав на 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 строения, сооружения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36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– Югры от 02.12.2011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457-п «Об арендной плате за земельные участки земель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выписки из Единого государственного реестра прав на 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945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государственного кадастра недвижимости в виде кадастрового паспорта земельного участка или кадастровой выписки</w:t>
            </w:r>
          </w:p>
          <w:p w:rsidR="00BD4AB8" w:rsidRPr="001E6902" w:rsidRDefault="00BD4AB8" w:rsidP="00011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 выписки из Единого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прав на 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B8" w:rsidRPr="001E6902" w:rsidRDefault="001112ED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статьей 3</w:t>
            </w:r>
            <w:r w:rsidR="00E27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D4AB8" w:rsidRPr="001E6902" w:rsidRDefault="00E276C3" w:rsidP="00D43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– Югры от 02.12.2011 №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457-п «Об арендной плате за земельные участки земель населенных пунктов»</w:t>
            </w:r>
            <w:r w:rsidR="00D4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государственного кадастра недвижимости в виде кадастрового паспорта земельного участка  или кадастровой выписки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о составе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B8" w:rsidRPr="001E6902" w:rsidRDefault="00D438D9" w:rsidP="00D43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Покачи от 11.08.2011 N 703 "О бесплатном предоставлении земельных участков в собственность для строительства индивидуальных жилых домов на территории города Покачи"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Прием заявлений, утверждение и выдача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38D9" w:rsidRPr="001E6902" w:rsidRDefault="00D438D9" w:rsidP="00D43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</w:t>
            </w:r>
            <w:r w:rsidR="00E276C3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выписки из Единого государственного реестра прав на недвижимое имущество и сделок с ним (или уведомления об отсутствии в ЕГРП запрашиваемых сведений)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B8" w:rsidRPr="001E6902" w:rsidTr="000116BD">
        <w:trPr>
          <w:trHeight w:val="240"/>
        </w:trPr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жилищной политике Комитета по управлению муниципальным имуществом</w:t>
            </w:r>
            <w:r w:rsidR="00AB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Покачи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также постановка граждан на учет в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нуждающихся в жилых  помещениях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выписки из ЕГРИП на заявителя и членов его семьи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C10" w:rsidRDefault="00D438D9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</w:t>
            </w:r>
            <w:r w:rsidR="00453C10" w:rsidRPr="00453C10">
              <w:rPr>
                <w:rFonts w:ascii="Times New Roman" w:hAnsi="Times New Roman"/>
                <w:sz w:val="24"/>
                <w:szCs w:val="24"/>
              </w:rPr>
              <w:t>3</w:t>
            </w:r>
            <w:r w:rsidRPr="00453C10">
              <w:rPr>
                <w:rFonts w:ascii="Times New Roman" w:hAnsi="Times New Roman"/>
                <w:sz w:val="24"/>
                <w:szCs w:val="24"/>
              </w:rPr>
              <w:t xml:space="preserve">  стать</w:t>
            </w:r>
            <w:r w:rsidR="00453C10" w:rsidRPr="00453C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53C10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Конституции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Федерации;                    </w:t>
            </w:r>
          </w:p>
          <w:p w:rsidR="00D438D9" w:rsidRDefault="00D438D9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статьей 49-58 Жилищного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редакции Федерального Закона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от 29.12.2004 № 189-ФЗ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AB8" w:rsidRPr="001E6902" w:rsidRDefault="00D438D9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="00BD4AB8" w:rsidRPr="001E6902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BD4AB8" w:rsidRPr="001E6902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D4AB8" w:rsidRPr="001E6902" w:rsidRDefault="00D438D9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  граждан в одной квартире» (</w:t>
            </w:r>
            <w:hyperlink r:id="rId15" w:history="1">
              <w:r w:rsidR="00BD4AB8" w:rsidRPr="001E6902">
                <w:rPr>
                  <w:rFonts w:ascii="Times New Roman" w:hAnsi="Times New Roman"/>
                  <w:sz w:val="24"/>
                  <w:szCs w:val="24"/>
                </w:rPr>
                <w:t>пункты 1</w:t>
              </w:r>
            </w:hyperlink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" w:history="1">
              <w:r w:rsidR="00BD4AB8" w:rsidRPr="001E6902">
                <w:rPr>
                  <w:rFonts w:ascii="Times New Roman" w:hAnsi="Times New Roman"/>
                  <w:sz w:val="24"/>
                  <w:szCs w:val="24"/>
                </w:rPr>
                <w:t>11</w:t>
              </w:r>
            </w:hyperlink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перечня);</w:t>
            </w:r>
          </w:p>
          <w:p w:rsidR="00BD4AB8" w:rsidRPr="001E6902" w:rsidRDefault="00D438D9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      </w:r>
          </w:p>
          <w:p w:rsidR="00E354CC" w:rsidRDefault="00D438D9" w:rsidP="00E3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14-19, 22-28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от 06.07.2005 № 57-оз «О регулировании отдельных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жилищных отношений </w:t>
            </w:r>
            <w:proofErr w:type="gramStart"/>
            <w:r w:rsidR="00BD4AB8" w:rsidRPr="001E69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AB8" w:rsidRPr="001E6902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</w:t>
            </w:r>
            <w:r w:rsidR="00E354CC">
              <w:rPr>
                <w:rFonts w:ascii="Times New Roman" w:hAnsi="Times New Roman"/>
                <w:sz w:val="24"/>
                <w:szCs w:val="24"/>
              </w:rPr>
              <w:t xml:space="preserve">;                     </w:t>
            </w:r>
          </w:p>
          <w:p w:rsidR="00E354CC" w:rsidRDefault="00E354CC" w:rsidP="00E3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Покачи от 07.04.2011 № 253 «Об установлении учетной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="00BD4AB8" w:rsidRPr="001E6902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>, а также нормы предоставления площади жилого помещения по договору социального найм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 территории города Покачи»; </w:t>
            </w:r>
          </w:p>
          <w:p w:rsidR="00BD4AB8" w:rsidRPr="001E6902" w:rsidRDefault="00E354CC" w:rsidP="00E35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дминистрации города Покачи от 19.04.2013 № 493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«Об утверждении Положения об обеспечении проживающих в городском округе и нуждающихся в жилых помещениях малоимущих граждан жилыми помещениями»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семьи;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 доходах с места работы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заявителя 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либо отсутствии у заявителя и членов его семьи, зарегистрированного движимого имущества, подлежащего налогообложению (транспортные средства)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отчета (выписки из отчета) о стоимости недвижимого, движимого имущества при наличии имущества у заявителя и (или) членов его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351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заключения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пенсии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справки о выплатах  пособия по безработице и других выплат безработным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</w:t>
            </w:r>
            <w:r w:rsidRPr="001E6902">
              <w:rPr>
                <w:rFonts w:cs="Times New Roman"/>
              </w:rPr>
              <w:t xml:space="preserve">справки о выплатах пособия по беременности и родам за последний календарный год (12 месяцев), предшествовавший началу года </w:t>
            </w:r>
            <w:r w:rsidRPr="001E6902">
              <w:rPr>
                <w:rFonts w:cs="Times New Roman"/>
              </w:rPr>
              <w:lastRenderedPageBreak/>
              <w:t>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cs="Times New Roman"/>
              </w:rPr>
            </w:pPr>
            <w:r w:rsidRPr="001E6902">
              <w:rPr>
                <w:rFonts w:cs="Times New Roman"/>
              </w:rPr>
              <w:t>Выдача 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справки </w:t>
            </w:r>
            <w:r w:rsidRPr="001E6902">
              <w:rPr>
                <w:rFonts w:cs="Times New Roman"/>
              </w:rPr>
              <w:t>о выплатах ежемесячных пособий на ребенка (детей) от 1,5 лет до достижения им 3-летнего возраста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73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справки </w:t>
            </w:r>
            <w:r w:rsidRPr="001E6902">
              <w:rPr>
                <w:rFonts w:cs="Times New Roman"/>
              </w:rPr>
              <w:t>о выплатах стипендии из учебных заведений за последний календарный год (12 месяцев), предшествовавший началу года подачи заявления (студентам)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>Выдача справки (сведений) об уплате или получении алиментов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>Выдача справки о размере единовременного пособия, выплаченного  при увольнении из органов внутренних дел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</w:t>
            </w:r>
            <w:r w:rsidRPr="001E6902">
              <w:rPr>
                <w:rFonts w:cs="Times New Roman"/>
              </w:rPr>
              <w:t>правоустанавливающих документов на объекты недвижимости, права на которые не зарегистрированы в ЕГРП (Ордера)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cs="Times New Roman"/>
              </w:rPr>
              <w:t>Выдача решения суда (о лишении родительских прав, о признании родителей безвестно отсутствующими, объявление умершими, недееспособными; о признании членами семьи)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 муниципального жилищного фонда города </w:t>
            </w: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 по договору социального найма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выписки из ЕГРИП на заявителя и членов его семьи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3C10" w:rsidRDefault="00453C10" w:rsidP="00453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</w:t>
            </w:r>
            <w:r w:rsidRPr="00453C10">
              <w:rPr>
                <w:rFonts w:ascii="Times New Roman" w:hAnsi="Times New Roman"/>
                <w:sz w:val="24"/>
                <w:szCs w:val="24"/>
              </w:rPr>
              <w:t>3  статьи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Конституции</w:t>
            </w:r>
            <w:r w:rsidRPr="001E6902">
              <w:rPr>
                <w:rFonts w:ascii="Times New Roman" w:hAnsi="Times New Roman"/>
                <w:sz w:val="24"/>
                <w:szCs w:val="24"/>
              </w:rPr>
              <w:t xml:space="preserve"> 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Федерации;                    </w:t>
            </w:r>
          </w:p>
          <w:p w:rsidR="00054BF8" w:rsidRDefault="00453C10" w:rsidP="0001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354CC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49, 57, 59, 60, 74, 82, 89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Жилищн</w:t>
            </w:r>
            <w:r w:rsidR="00E354C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E354CC">
              <w:rPr>
                <w:rFonts w:ascii="Times New Roman" w:hAnsi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E354CC">
              <w:rPr>
                <w:rFonts w:ascii="Times New Roman" w:hAnsi="Times New Roman"/>
                <w:sz w:val="24"/>
                <w:szCs w:val="24"/>
              </w:rPr>
              <w:t xml:space="preserve">(в редакции Федерального закона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от</w:t>
            </w:r>
            <w:r w:rsidR="00E3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29.12.2004 № 189-ФЗ</w:t>
            </w:r>
            <w:r w:rsidR="00E354CC">
              <w:rPr>
                <w:rFonts w:ascii="Times New Roman" w:hAnsi="Times New Roman"/>
                <w:sz w:val="24"/>
                <w:szCs w:val="24"/>
              </w:rPr>
              <w:t>;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AB8" w:rsidRPr="001E6902" w:rsidRDefault="00E354CC" w:rsidP="0001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05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16.06.2006 № 378 «Об утверждении перечня тяжелых форм хронических заболеваний, при которых невозможно                                                совместное проживание граждан в одной квартире» (пункты 1 -</w:t>
            </w:r>
            <w:r w:rsidR="0005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11 перечня);</w:t>
            </w:r>
          </w:p>
          <w:p w:rsidR="00BD4AB8" w:rsidRPr="001E6902" w:rsidRDefault="00054BF8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 (пункты 1-10 перечня);</w:t>
            </w:r>
          </w:p>
          <w:p w:rsidR="00BD4AB8" w:rsidRPr="001E6902" w:rsidRDefault="00054BF8" w:rsidP="00011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21.05.2005 № 315 «Об утверждении типового договора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ального найма жилого помещения»;</w:t>
            </w:r>
          </w:p>
          <w:p w:rsidR="00BD4AB8" w:rsidRPr="001E6902" w:rsidRDefault="00054BF8" w:rsidP="00011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453C10">
              <w:rPr>
                <w:rFonts w:ascii="Times New Roman" w:hAnsi="Times New Roman"/>
                <w:sz w:val="24"/>
                <w:szCs w:val="24"/>
              </w:rPr>
              <w:t xml:space="preserve">подпунктом 5 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453C10">
              <w:rPr>
                <w:rFonts w:ascii="Times New Roman" w:hAnsi="Times New Roman"/>
                <w:sz w:val="24"/>
                <w:szCs w:val="24"/>
              </w:rPr>
              <w:t>а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7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Думы города Покачи от 27.</w:t>
            </w:r>
            <w:r w:rsidR="00453C10">
              <w:rPr>
                <w:rFonts w:ascii="Times New Roman" w:hAnsi="Times New Roman"/>
                <w:sz w:val="24"/>
                <w:szCs w:val="24"/>
              </w:rPr>
              <w:t>03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>.20</w:t>
            </w:r>
            <w:r w:rsidR="00453C10">
              <w:rPr>
                <w:rFonts w:ascii="Times New Roman" w:hAnsi="Times New Roman"/>
                <w:sz w:val="24"/>
                <w:szCs w:val="24"/>
              </w:rPr>
              <w:t>13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3C10">
              <w:rPr>
                <w:rFonts w:ascii="Times New Roman" w:hAnsi="Times New Roman"/>
                <w:sz w:val="24"/>
                <w:szCs w:val="24"/>
              </w:rPr>
              <w:t>18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8"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453C1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453C10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BD4AB8" w:rsidRPr="001E6902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имуществом, находящимся в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>сти города Покачи».</w:t>
            </w:r>
          </w:p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составе семьи;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справки о доходах с места работы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cs="Times New Roman"/>
              </w:rPr>
            </w:pPr>
            <w:r w:rsidRPr="001E6902">
              <w:rPr>
                <w:rFonts w:cs="Times New Roman"/>
              </w:rPr>
              <w:t>Выдача справки о наличии либо отсутствии у заявителя и членов его семьи, зарегистрированного движимого имущества, подлежащего налогообложению (транспортные средства)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отчета (выписки из отчета) о стоимости недвижимого, движимого имущества при наличии имущества у заявителя и (или) членов его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заключения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размере пенсии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справки о выплатах  пособия по безработице и других выплат безработным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соответствующего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</w:t>
            </w:r>
            <w:r w:rsidRPr="001E6902">
              <w:rPr>
                <w:rFonts w:cs="Times New Roman"/>
              </w:rPr>
              <w:t xml:space="preserve"> справки о выплатах пособия по беременности и родам за последний календарный </w:t>
            </w:r>
            <w:r w:rsidRPr="001E6902">
              <w:rPr>
                <w:rFonts w:cs="Times New Roman"/>
              </w:rPr>
              <w:lastRenderedPageBreak/>
              <w:t>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 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cs="Times New Roman"/>
              </w:rPr>
            </w:pPr>
            <w:r w:rsidRPr="001E6902">
              <w:rPr>
                <w:rFonts w:cs="Times New Roman"/>
              </w:rPr>
              <w:t>Выдача 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справки </w:t>
            </w:r>
            <w:r w:rsidRPr="001E6902">
              <w:rPr>
                <w:rFonts w:cs="Times New Roman"/>
              </w:rPr>
              <w:t>о выплатах ежемесячных пособий на ребенка (детей) от 1,5 лет до достижения им 3-летнего возраста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справки </w:t>
            </w:r>
            <w:r w:rsidRPr="001E6902">
              <w:rPr>
                <w:rFonts w:cs="Times New Roman"/>
              </w:rPr>
              <w:t>о выплатах стипендии из учебных заведений за последний календарный год (12 месяцев), предшествовавший началу года подачи заявления (студентам)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>Выдача справки (сведений) об уплате или получении алиментов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>Выдача справки о размере единовременного пособия, выплаченного  при увольнении  из органов внутренних дел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eastAsia="Times New Roman" w:cs="Times New Roman"/>
                <w:color w:val="auto"/>
                <w:kern w:val="0"/>
                <w:lang w:eastAsia="ru-RU" w:bidi="ar-SA"/>
              </w:rPr>
              <w:t xml:space="preserve">Выдача </w:t>
            </w:r>
            <w:r w:rsidRPr="001E6902">
              <w:rPr>
                <w:rFonts w:cs="Times New Roman"/>
              </w:rPr>
              <w:t>правоустанавливающих документов на объекты недвижимости, права на которые не зарегистрированы в ЕГРП (Ордера)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AB8" w:rsidRPr="001E6902" w:rsidRDefault="00BD4AB8" w:rsidP="000116BD">
            <w:pPr>
              <w:pStyle w:val="Standard"/>
              <w:tabs>
                <w:tab w:val="left" w:pos="916"/>
                <w:tab w:val="left" w:pos="947"/>
              </w:tabs>
              <w:jc w:val="both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1E6902">
              <w:rPr>
                <w:rFonts w:cs="Times New Roman"/>
              </w:rPr>
              <w:t xml:space="preserve"> Выдача решения суда (о лишении родительских прав, о признании родителей безвестно отсутствующими, объявление умершими, недееспособными; о признании членами семьи)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заявителя</w:t>
            </w:r>
          </w:p>
        </w:tc>
      </w:tr>
      <w:tr w:rsidR="00BD4AB8" w:rsidRPr="001E6902" w:rsidTr="000116BD">
        <w:trPr>
          <w:trHeight w:val="240"/>
        </w:trPr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социальным вопросам</w:t>
            </w:r>
            <w:r w:rsidR="00AB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Покачи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право организации розничных </w:t>
            </w:r>
            <w:r w:rsidRPr="001E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рынков на территории города Покачи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сведений из  Единого государственного реестра юридических лиц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AB8" w:rsidRPr="001E6902" w:rsidRDefault="00054BF8" w:rsidP="00054B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t xml:space="preserve"> от 30.12.2006 </w:t>
            </w:r>
            <w:r w:rsidR="00BD4AB8" w:rsidRPr="001E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271-ФЗ «О розничных рынках и о внесении изменений в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кодекс Российской Федерации».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соответствующег</w:t>
            </w:r>
            <w:r w:rsidRPr="001E6902">
              <w:rPr>
                <w:rFonts w:ascii="Times New Roman" w:hAnsi="Times New Roman"/>
                <w:sz w:val="24"/>
                <w:szCs w:val="24"/>
              </w:rPr>
              <w:lastRenderedPageBreak/>
              <w:t>о бюджета</w:t>
            </w:r>
          </w:p>
        </w:tc>
      </w:tr>
      <w:tr w:rsidR="00BD4AB8" w:rsidRPr="001E6902" w:rsidTr="000116BD">
        <w:trPr>
          <w:trHeight w:val="240"/>
        </w:trPr>
        <w:tc>
          <w:tcPr>
            <w:tcW w:w="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6902">
              <w:rPr>
                <w:rFonts w:ascii="Times New Roman" w:hAnsi="Times New Roman" w:cs="Times New Roman"/>
                <w:sz w:val="24"/>
                <w:szCs w:val="24"/>
              </w:rPr>
              <w:t>Выдача  сведений из Единого государственного реестра прав на объект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AB8" w:rsidRPr="001E6902" w:rsidRDefault="00BD4AB8" w:rsidP="000116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6902">
              <w:rPr>
                <w:rFonts w:ascii="Times New Roman" w:hAnsi="Times New Roman"/>
                <w:sz w:val="24"/>
                <w:szCs w:val="24"/>
              </w:rPr>
              <w:t>За счет средств соответствующего бюджета</w:t>
            </w:r>
          </w:p>
        </w:tc>
      </w:tr>
    </w:tbl>
    <w:p w:rsidR="00BD4AB8" w:rsidRPr="001226FF" w:rsidRDefault="00BD4AB8" w:rsidP="00BD4AB8">
      <w:pPr>
        <w:rPr>
          <w:rFonts w:ascii="Times New Roman" w:hAnsi="Times New Roman"/>
        </w:rPr>
      </w:pPr>
    </w:p>
    <w:p w:rsidR="00DC353A" w:rsidRDefault="00DC353A" w:rsidP="00DC3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C353A" w:rsidSect="00D06442">
      <w:pgSz w:w="16838" w:h="11906" w:orient="landscape"/>
      <w:pgMar w:top="198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116BD"/>
    <w:rsid w:val="00043E5C"/>
    <w:rsid w:val="00054BF8"/>
    <w:rsid w:val="000909CF"/>
    <w:rsid w:val="000B6938"/>
    <w:rsid w:val="001112ED"/>
    <w:rsid w:val="0016381D"/>
    <w:rsid w:val="001B4336"/>
    <w:rsid w:val="001D30AF"/>
    <w:rsid w:val="002C510C"/>
    <w:rsid w:val="002F4443"/>
    <w:rsid w:val="00301CF1"/>
    <w:rsid w:val="0031265C"/>
    <w:rsid w:val="00322242"/>
    <w:rsid w:val="00344C1D"/>
    <w:rsid w:val="00453C10"/>
    <w:rsid w:val="00485CD7"/>
    <w:rsid w:val="00495E93"/>
    <w:rsid w:val="004D5AA0"/>
    <w:rsid w:val="00543C2C"/>
    <w:rsid w:val="0056027C"/>
    <w:rsid w:val="00580B6F"/>
    <w:rsid w:val="00624A9D"/>
    <w:rsid w:val="006310A6"/>
    <w:rsid w:val="00674C11"/>
    <w:rsid w:val="00764D61"/>
    <w:rsid w:val="00783842"/>
    <w:rsid w:val="00817B90"/>
    <w:rsid w:val="00846450"/>
    <w:rsid w:val="00852AD8"/>
    <w:rsid w:val="0097575C"/>
    <w:rsid w:val="00980C04"/>
    <w:rsid w:val="009A15ED"/>
    <w:rsid w:val="009D12E8"/>
    <w:rsid w:val="00A3567A"/>
    <w:rsid w:val="00A41242"/>
    <w:rsid w:val="00A6439C"/>
    <w:rsid w:val="00A64E6D"/>
    <w:rsid w:val="00AB0F28"/>
    <w:rsid w:val="00AB3140"/>
    <w:rsid w:val="00B0216D"/>
    <w:rsid w:val="00B13286"/>
    <w:rsid w:val="00B168EC"/>
    <w:rsid w:val="00B2305B"/>
    <w:rsid w:val="00B34266"/>
    <w:rsid w:val="00B410C9"/>
    <w:rsid w:val="00BB0B62"/>
    <w:rsid w:val="00BD4AB8"/>
    <w:rsid w:val="00BD7C91"/>
    <w:rsid w:val="00BF51FF"/>
    <w:rsid w:val="00C66C2C"/>
    <w:rsid w:val="00C707DC"/>
    <w:rsid w:val="00C82782"/>
    <w:rsid w:val="00CC51BB"/>
    <w:rsid w:val="00CC5E8F"/>
    <w:rsid w:val="00D06442"/>
    <w:rsid w:val="00D0669D"/>
    <w:rsid w:val="00D25713"/>
    <w:rsid w:val="00D438D9"/>
    <w:rsid w:val="00D46EB0"/>
    <w:rsid w:val="00D57E3B"/>
    <w:rsid w:val="00D8029B"/>
    <w:rsid w:val="00D87174"/>
    <w:rsid w:val="00D90805"/>
    <w:rsid w:val="00DC353A"/>
    <w:rsid w:val="00E13046"/>
    <w:rsid w:val="00E15E20"/>
    <w:rsid w:val="00E276C3"/>
    <w:rsid w:val="00E354CC"/>
    <w:rsid w:val="00EA0CA0"/>
    <w:rsid w:val="00EF5561"/>
    <w:rsid w:val="00F0508B"/>
    <w:rsid w:val="00F14EBF"/>
    <w:rsid w:val="00F335C4"/>
    <w:rsid w:val="00FA519E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DC353A"/>
    <w:rPr>
      <w:color w:val="0000FF"/>
      <w:u w:val="single"/>
    </w:rPr>
  </w:style>
  <w:style w:type="paragraph" w:styleId="a4">
    <w:name w:val="No Spacing"/>
    <w:uiPriority w:val="1"/>
    <w:qFormat/>
    <w:rsid w:val="00DC35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D7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table" w:styleId="a7">
    <w:name w:val="Table Grid"/>
    <w:basedOn w:val="a1"/>
    <w:uiPriority w:val="59"/>
    <w:rsid w:val="00BD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3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DC353A"/>
    <w:rPr>
      <w:color w:val="0000FF"/>
      <w:u w:val="single"/>
    </w:rPr>
  </w:style>
  <w:style w:type="paragraph" w:styleId="a4">
    <w:name w:val="No Spacing"/>
    <w:uiPriority w:val="1"/>
    <w:qFormat/>
    <w:rsid w:val="00DC35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D7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table" w:styleId="a7">
    <w:name w:val="Table Grid"/>
    <w:basedOn w:val="a1"/>
    <w:uiPriority w:val="59"/>
    <w:rsid w:val="00BD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5A059011D62BB0D4FE2E78115435B8F1D5D0B1AE66A13BC5C113244D4F5E591951E69B5272718p5I6G" TargetMode="External"/><Relationship Id="rId13" Type="http://schemas.openxmlformats.org/officeDocument/2006/relationships/hyperlink" Target="consultantplus://offline/ref=8583C889EDE551EBB8F3BEDD6977B60A93C42F42ED9AC4C1554089C531529167CE078EC85BF0B083YBM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396026BE5A116905F268780CCBA0EB88523F21B5F15F071DF8C8A3C2ABB7B68D564FDE01E1G5G" TargetMode="External"/><Relationship Id="rId12" Type="http://schemas.openxmlformats.org/officeDocument/2006/relationships/hyperlink" Target="consultantplus://offline/ref=8583C889EDE551EBB8F3BEDD6977B60A93C42F42ED9AC4C1554089C531529167CE078EC85BF1B384YBM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D26FBB985C8A499FC0BAC148752A9F91B9934DDD01367F7F533EBBDD326B614A514F084A34DaEi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092DDDE7348A01EE87759CC30571AFC1AF90A7A496B27F54627548544B6EA4C007F9FC8F6ACBDBl2r0F" TargetMode="External"/><Relationship Id="rId11" Type="http://schemas.openxmlformats.org/officeDocument/2006/relationships/hyperlink" Target="consultantplus://offline/ref=8583C889EDE551EBB8F3BEDD6977B60A93C42F42ED9AC4C1554089C531529167CE078EC85BF1B384YBM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FD26FBB985C8A499FC0BAC148752A9F91B9934DDD01367F7F533EBBDD326B614A514F084A34EaEi6L" TargetMode="External"/><Relationship Id="rId10" Type="http://schemas.openxmlformats.org/officeDocument/2006/relationships/hyperlink" Target="consultantplus://offline/ref=8583C889EDE551EBB8F3BEDD6977B60A93C42F42ED9AC4C1554089C531529167CE078EC85BF1B385YBM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DFA2D269815948775BFA6E8ABBBD2725B560941631F60617C8A7E26B2ECF2795495B4F95722CEnBY3J" TargetMode="External"/><Relationship Id="rId14" Type="http://schemas.openxmlformats.org/officeDocument/2006/relationships/hyperlink" Target="consultantplus://offline/ref=8DFD26FBB985C8A499FC0BAC148752A9FE189230DADA4E6DFFAC3FE9BAaD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D28A-8823-4126-80C5-A268462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22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Екатерина Николаевна</dc:creator>
  <cp:keywords/>
  <dc:description/>
  <cp:lastModifiedBy>Дегтярева Юлия Павловна</cp:lastModifiedBy>
  <cp:revision>38</cp:revision>
  <cp:lastPrinted>2014-09-18T09:00:00Z</cp:lastPrinted>
  <dcterms:created xsi:type="dcterms:W3CDTF">2014-05-13T10:28:00Z</dcterms:created>
  <dcterms:modified xsi:type="dcterms:W3CDTF">2014-09-26T11:08:00Z</dcterms:modified>
</cp:coreProperties>
</file>